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E367A" w14:textId="59DEEFFE" w:rsidR="00F75CE1" w:rsidRPr="00B46D91" w:rsidRDefault="004D030A" w:rsidP="004B1527">
      <w:pPr>
        <w:pStyle w:val="NormalWeb"/>
        <w:jc w:val="center"/>
        <w:rPr>
          <w:rFonts w:asciiTheme="majorHAnsi" w:hAnsiTheme="majorHAnsi" w:cs="Arial"/>
          <w:b/>
          <w:sz w:val="22"/>
          <w:szCs w:val="22"/>
          <w:lang w:val="en-GB"/>
        </w:rPr>
      </w:pPr>
      <w:r w:rsidRPr="00B46D91">
        <w:rPr>
          <w:rFonts w:ascii="Calibri" w:hAnsi="Calibri" w:cs="Arial"/>
          <w:b/>
          <w:sz w:val="26"/>
          <w:szCs w:val="26"/>
          <w:lang w:val="en-GB"/>
        </w:rPr>
        <w:t>Written comme</w:t>
      </w:r>
      <w:r w:rsidR="00125584">
        <w:rPr>
          <w:rFonts w:ascii="Calibri" w:hAnsi="Calibri" w:cs="Arial"/>
          <w:b/>
          <w:sz w:val="26"/>
          <w:szCs w:val="26"/>
          <w:lang w:val="en-GB"/>
        </w:rPr>
        <w:t>nts of Greenpeace International</w:t>
      </w:r>
      <w:r w:rsidR="00BA2593">
        <w:rPr>
          <w:rFonts w:ascii="Calibri" w:hAnsi="Calibri" w:cs="Arial"/>
          <w:b/>
          <w:sz w:val="26"/>
          <w:szCs w:val="26"/>
          <w:lang w:val="en-GB"/>
        </w:rPr>
        <w:t xml:space="preserve"> on</w:t>
      </w:r>
      <w:r w:rsidR="00125584">
        <w:rPr>
          <w:rFonts w:ascii="Calibri" w:hAnsi="Calibri" w:cs="Arial"/>
          <w:b/>
          <w:sz w:val="26"/>
          <w:szCs w:val="26"/>
          <w:lang w:val="en-GB"/>
        </w:rPr>
        <w:t xml:space="preserve"> </w:t>
      </w:r>
      <w:r w:rsidR="00BA2593">
        <w:rPr>
          <w:rFonts w:ascii="Calibri" w:hAnsi="Calibri" w:cs="Arial"/>
          <w:b/>
          <w:sz w:val="26"/>
          <w:szCs w:val="26"/>
          <w:lang w:val="en-GB"/>
        </w:rPr>
        <w:br/>
      </w:r>
      <w:r w:rsidR="00BA2593" w:rsidRPr="00BA2593">
        <w:rPr>
          <w:rFonts w:ascii="Calibri" w:hAnsi="Calibri" w:cs="Arial"/>
          <w:b/>
          <w:sz w:val="26"/>
          <w:szCs w:val="26"/>
          <w:lang w:val="en-GB"/>
        </w:rPr>
        <w:t>revised draft General Comment No. 37</w:t>
      </w:r>
      <w:r w:rsidR="00BA2593">
        <w:rPr>
          <w:rFonts w:ascii="Calibri" w:hAnsi="Calibri" w:cs="Arial"/>
          <w:b/>
          <w:sz w:val="26"/>
          <w:szCs w:val="26"/>
          <w:lang w:val="en-GB"/>
        </w:rPr>
        <w:br/>
      </w:r>
      <w:r w:rsidR="00406102">
        <w:rPr>
          <w:rFonts w:ascii="Calibri" w:hAnsi="Calibri" w:cs="Arial"/>
          <w:b/>
          <w:sz w:val="26"/>
          <w:szCs w:val="26"/>
          <w:lang w:val="en-GB"/>
        </w:rPr>
        <w:br/>
      </w:r>
      <w:r w:rsidR="00BA2593">
        <w:rPr>
          <w:rFonts w:asciiTheme="majorHAnsi" w:hAnsiTheme="majorHAnsi" w:cs="Arial"/>
          <w:b/>
          <w:sz w:val="22"/>
          <w:szCs w:val="22"/>
          <w:lang w:val="en-GB"/>
        </w:rPr>
        <w:t>21 February 2020</w:t>
      </w:r>
      <w:r w:rsidR="002F09D8">
        <w:rPr>
          <w:rFonts w:asciiTheme="majorHAnsi" w:hAnsiTheme="majorHAnsi" w:cs="Arial"/>
          <w:b/>
          <w:sz w:val="22"/>
          <w:szCs w:val="22"/>
          <w:lang w:val="en-GB"/>
        </w:rPr>
        <w:br/>
      </w:r>
    </w:p>
    <w:p w14:paraId="5AA96B8F" w14:textId="1EAA035D" w:rsidR="005C45FB" w:rsidRDefault="00E63DB4" w:rsidP="000842C6">
      <w:pPr>
        <w:pStyle w:val="NormalWeb"/>
        <w:rPr>
          <w:rFonts w:asciiTheme="majorHAnsi" w:hAnsiTheme="majorHAnsi" w:cs="Arial"/>
          <w:sz w:val="22"/>
          <w:szCs w:val="22"/>
          <w:lang w:val="en-GB"/>
        </w:rPr>
      </w:pPr>
      <w:r>
        <w:rPr>
          <w:rFonts w:asciiTheme="majorHAnsi" w:hAnsiTheme="majorHAnsi" w:cs="Arial"/>
          <w:i/>
          <w:sz w:val="22"/>
          <w:szCs w:val="22"/>
          <w:lang w:val="en-GB"/>
        </w:rPr>
        <w:t>Contact person: Daniel Simons, Legal Counsel, daniel.simons@greenpeace.org</w:t>
      </w:r>
      <w:r>
        <w:rPr>
          <w:rFonts w:asciiTheme="majorHAnsi" w:hAnsiTheme="majorHAnsi" w:cs="Arial"/>
          <w:sz w:val="22"/>
          <w:szCs w:val="22"/>
          <w:lang w:val="en-GB"/>
        </w:rPr>
        <w:br/>
      </w:r>
      <w:r>
        <w:rPr>
          <w:rFonts w:asciiTheme="majorHAnsi" w:hAnsiTheme="majorHAnsi" w:cs="Arial"/>
          <w:sz w:val="22"/>
          <w:szCs w:val="22"/>
          <w:lang w:val="en-GB"/>
        </w:rPr>
        <w:br/>
      </w:r>
      <w:r w:rsidR="00F75CE1" w:rsidRPr="00B46D91">
        <w:rPr>
          <w:rFonts w:asciiTheme="majorHAnsi" w:hAnsiTheme="majorHAnsi" w:cs="Arial"/>
          <w:sz w:val="22"/>
          <w:szCs w:val="22"/>
          <w:lang w:val="en-GB"/>
        </w:rPr>
        <w:t>Greenpeace International</w:t>
      </w:r>
      <w:r w:rsidR="00975FDD" w:rsidRPr="00B46D91">
        <w:rPr>
          <w:rFonts w:asciiTheme="majorHAnsi" w:hAnsiTheme="majorHAnsi" w:cs="Arial"/>
          <w:sz w:val="22"/>
          <w:szCs w:val="22"/>
          <w:lang w:val="en-GB"/>
        </w:rPr>
        <w:t xml:space="preserve"> (GPI)</w:t>
      </w:r>
      <w:r w:rsidR="007502ED" w:rsidRPr="00B46D91">
        <w:rPr>
          <w:rFonts w:asciiTheme="majorHAnsi" w:hAnsiTheme="majorHAnsi" w:cs="Arial"/>
          <w:sz w:val="22"/>
          <w:szCs w:val="22"/>
          <w:lang w:val="en-GB"/>
        </w:rPr>
        <w:t xml:space="preserve"> </w:t>
      </w:r>
      <w:r w:rsidR="00F75CE1" w:rsidRPr="00B46D91">
        <w:rPr>
          <w:rFonts w:asciiTheme="majorHAnsi" w:hAnsiTheme="majorHAnsi" w:cs="Arial"/>
          <w:sz w:val="22"/>
          <w:szCs w:val="22"/>
          <w:lang w:val="en-GB"/>
        </w:rPr>
        <w:t>welcomes the</w:t>
      </w:r>
      <w:r w:rsidR="00206D54">
        <w:rPr>
          <w:rFonts w:asciiTheme="majorHAnsi" w:hAnsiTheme="majorHAnsi" w:cs="Arial"/>
          <w:sz w:val="22"/>
          <w:szCs w:val="22"/>
          <w:lang w:val="en-GB"/>
        </w:rPr>
        <w:t xml:space="preserve"> opportunity to comment on the</w:t>
      </w:r>
      <w:r w:rsidR="00F75CE1" w:rsidRPr="00B46D91">
        <w:rPr>
          <w:rFonts w:asciiTheme="majorHAnsi" w:hAnsiTheme="majorHAnsi" w:cs="Arial"/>
          <w:sz w:val="22"/>
          <w:szCs w:val="22"/>
          <w:lang w:val="en-GB"/>
        </w:rPr>
        <w:t xml:space="preserve"> UN Human Rights Committee’s </w:t>
      </w:r>
      <w:r w:rsidR="00474E45">
        <w:rPr>
          <w:rFonts w:asciiTheme="majorHAnsi" w:hAnsiTheme="majorHAnsi" w:cs="Arial"/>
          <w:sz w:val="22"/>
          <w:szCs w:val="22"/>
          <w:lang w:val="en-GB"/>
        </w:rPr>
        <w:t>revised draft of</w:t>
      </w:r>
      <w:r w:rsidR="004D030A" w:rsidRPr="00B46D91">
        <w:rPr>
          <w:rFonts w:asciiTheme="majorHAnsi" w:hAnsiTheme="majorHAnsi" w:cs="Arial"/>
          <w:sz w:val="22"/>
          <w:szCs w:val="22"/>
          <w:lang w:val="en-GB"/>
        </w:rPr>
        <w:t xml:space="preserve"> General C</w:t>
      </w:r>
      <w:r w:rsidR="004B1527" w:rsidRPr="00B46D91">
        <w:rPr>
          <w:rFonts w:asciiTheme="majorHAnsi" w:hAnsiTheme="majorHAnsi" w:cs="Arial"/>
          <w:sz w:val="22"/>
          <w:szCs w:val="22"/>
          <w:lang w:val="en-GB"/>
        </w:rPr>
        <w:t xml:space="preserve">omment </w:t>
      </w:r>
      <w:r w:rsidR="00474E45">
        <w:rPr>
          <w:rFonts w:asciiTheme="majorHAnsi" w:hAnsiTheme="majorHAnsi" w:cs="Arial"/>
          <w:sz w:val="22"/>
          <w:szCs w:val="22"/>
          <w:lang w:val="en-GB"/>
        </w:rPr>
        <w:t xml:space="preserve">No. 37. </w:t>
      </w:r>
    </w:p>
    <w:p w14:paraId="18FA2A4A" w14:textId="4F2D8DE7" w:rsidR="005C45FB" w:rsidRPr="00B46D91" w:rsidRDefault="00206D54" w:rsidP="000842C6">
      <w:pPr>
        <w:pStyle w:val="NormalWeb"/>
        <w:rPr>
          <w:rFonts w:asciiTheme="majorHAnsi" w:hAnsiTheme="majorHAnsi" w:cs="Arial"/>
          <w:sz w:val="22"/>
          <w:szCs w:val="22"/>
          <w:lang w:val="en-GB"/>
        </w:rPr>
      </w:pPr>
      <w:r>
        <w:rPr>
          <w:rFonts w:asciiTheme="majorHAnsi" w:hAnsiTheme="majorHAnsi" w:cs="Arial"/>
          <w:sz w:val="22"/>
          <w:szCs w:val="22"/>
          <w:lang w:val="en-GB"/>
        </w:rPr>
        <w:t xml:space="preserve">The </w:t>
      </w:r>
      <w:r w:rsidR="005C45FB">
        <w:rPr>
          <w:rFonts w:asciiTheme="majorHAnsi" w:hAnsiTheme="majorHAnsi" w:cs="Arial"/>
          <w:sz w:val="22"/>
          <w:szCs w:val="22"/>
          <w:lang w:val="en-GB"/>
        </w:rPr>
        <w:t xml:space="preserve">draft deals with a large number of important issues in a succinct and sensible manner, and it will give valuable guidance both to national authorities and those exercising the right to freedom of peaceful assembly.  </w:t>
      </w:r>
    </w:p>
    <w:p w14:paraId="10FEAA78" w14:textId="77F9663E" w:rsidR="00D91916" w:rsidRPr="008E7B30" w:rsidRDefault="00C55B07" w:rsidP="000842C6">
      <w:pPr>
        <w:pStyle w:val="NormalWeb"/>
        <w:rPr>
          <w:rFonts w:asciiTheme="majorHAnsi" w:hAnsiTheme="majorHAnsi" w:cs="Arial"/>
          <w:sz w:val="22"/>
          <w:szCs w:val="22"/>
          <w:lang w:val="en-GB"/>
        </w:rPr>
      </w:pPr>
      <w:r w:rsidRPr="00B46D91">
        <w:rPr>
          <w:rFonts w:asciiTheme="majorHAnsi" w:hAnsiTheme="majorHAnsi" w:cs="Arial"/>
          <w:sz w:val="22"/>
          <w:szCs w:val="22"/>
          <w:lang w:val="en-GB"/>
        </w:rPr>
        <w:t>In this</w:t>
      </w:r>
      <w:r w:rsidR="005C45FB">
        <w:rPr>
          <w:rFonts w:asciiTheme="majorHAnsi" w:hAnsiTheme="majorHAnsi" w:cs="Arial"/>
          <w:sz w:val="22"/>
          <w:szCs w:val="22"/>
          <w:lang w:val="en-GB"/>
        </w:rPr>
        <w:t xml:space="preserve"> </w:t>
      </w:r>
      <w:r w:rsidRPr="00B46D91">
        <w:rPr>
          <w:rFonts w:asciiTheme="majorHAnsi" w:hAnsiTheme="majorHAnsi" w:cs="Arial"/>
          <w:sz w:val="22"/>
          <w:szCs w:val="22"/>
          <w:lang w:val="en-GB"/>
        </w:rPr>
        <w:t>submission</w:t>
      </w:r>
      <w:r w:rsidR="007502ED" w:rsidRPr="00B46D91">
        <w:rPr>
          <w:rFonts w:asciiTheme="majorHAnsi" w:hAnsiTheme="majorHAnsi" w:cs="Arial"/>
          <w:sz w:val="22"/>
          <w:szCs w:val="22"/>
          <w:lang w:val="en-GB"/>
        </w:rPr>
        <w:t xml:space="preserve">, we </w:t>
      </w:r>
      <w:r w:rsidR="005C45FB">
        <w:rPr>
          <w:rFonts w:asciiTheme="majorHAnsi" w:hAnsiTheme="majorHAnsi" w:cs="Arial"/>
          <w:sz w:val="22"/>
          <w:szCs w:val="22"/>
          <w:lang w:val="en-GB"/>
        </w:rPr>
        <w:t>briefly highlight a number of points on which we believe the draft could be further improved.</w:t>
      </w:r>
      <w:r w:rsidR="008E7B30">
        <w:rPr>
          <w:rFonts w:asciiTheme="majorHAnsi" w:hAnsiTheme="majorHAnsi" w:cs="Arial"/>
          <w:sz w:val="22"/>
          <w:szCs w:val="22"/>
          <w:lang w:val="en-GB"/>
        </w:rPr>
        <w:br/>
      </w:r>
      <w:r w:rsidR="000D359D">
        <w:rPr>
          <w:rFonts w:asciiTheme="majorHAnsi" w:hAnsiTheme="majorHAnsi" w:cs="Arial"/>
          <w:b/>
          <w:sz w:val="22"/>
          <w:szCs w:val="22"/>
          <w:u w:val="single"/>
          <w:lang w:val="en-GB"/>
        </w:rPr>
        <w:br/>
      </w:r>
      <w:r w:rsidR="008E7B30" w:rsidRPr="008E7B30">
        <w:rPr>
          <w:rFonts w:asciiTheme="majorHAnsi" w:hAnsiTheme="majorHAnsi" w:cs="Arial"/>
          <w:b/>
          <w:sz w:val="22"/>
          <w:szCs w:val="22"/>
          <w:u w:val="single"/>
          <w:lang w:val="en-GB"/>
        </w:rPr>
        <w:t>Scope of the right of peaceful assembly</w:t>
      </w:r>
    </w:p>
    <w:p w14:paraId="4DFE0E98" w14:textId="579A588F" w:rsidR="00D0588C" w:rsidRDefault="00100DE7" w:rsidP="00100DE7">
      <w:pPr>
        <w:pStyle w:val="NormalWeb"/>
        <w:rPr>
          <w:rFonts w:asciiTheme="majorHAnsi" w:hAnsiTheme="majorHAnsi" w:cs="Arial"/>
          <w:sz w:val="22"/>
          <w:szCs w:val="22"/>
          <w:lang w:val="en-GB"/>
        </w:rPr>
      </w:pPr>
      <w:r>
        <w:rPr>
          <w:rFonts w:asciiTheme="majorHAnsi" w:hAnsiTheme="majorHAnsi" w:cs="Arial"/>
          <w:sz w:val="22"/>
          <w:szCs w:val="22"/>
          <w:lang w:val="en-GB"/>
        </w:rPr>
        <w:t xml:space="preserve">Paragraph 12 of the draft </w:t>
      </w:r>
      <w:r w:rsidR="00D0588C">
        <w:rPr>
          <w:rFonts w:asciiTheme="majorHAnsi" w:hAnsiTheme="majorHAnsi" w:cs="Arial"/>
          <w:sz w:val="22"/>
          <w:szCs w:val="22"/>
          <w:lang w:val="en-GB"/>
        </w:rPr>
        <w:t>explains</w:t>
      </w:r>
      <w:r w:rsidR="00D50F83">
        <w:rPr>
          <w:rFonts w:asciiTheme="majorHAnsi" w:hAnsiTheme="majorHAnsi" w:cs="Arial"/>
          <w:sz w:val="22"/>
          <w:szCs w:val="22"/>
          <w:lang w:val="en-GB"/>
        </w:rPr>
        <w:t xml:space="preserve"> </w:t>
      </w:r>
      <w:r>
        <w:rPr>
          <w:rFonts w:asciiTheme="majorHAnsi" w:hAnsiTheme="majorHAnsi" w:cs="Arial"/>
          <w:sz w:val="22"/>
          <w:szCs w:val="22"/>
          <w:lang w:val="en-GB"/>
        </w:rPr>
        <w:t xml:space="preserve">that </w:t>
      </w:r>
      <w:r w:rsidR="001B6F72">
        <w:rPr>
          <w:rFonts w:asciiTheme="majorHAnsi" w:hAnsiTheme="majorHAnsi" w:cs="Arial"/>
          <w:sz w:val="22"/>
          <w:szCs w:val="22"/>
          <w:lang w:val="en-GB"/>
        </w:rPr>
        <w:t xml:space="preserve">the </w:t>
      </w:r>
      <w:r>
        <w:rPr>
          <w:rFonts w:asciiTheme="majorHAnsi" w:hAnsiTheme="majorHAnsi" w:cs="Arial"/>
          <w:sz w:val="22"/>
          <w:szCs w:val="22"/>
          <w:lang w:val="en-GB"/>
        </w:rPr>
        <w:t>question whether an</w:t>
      </w:r>
      <w:r w:rsidRPr="00100DE7">
        <w:rPr>
          <w:rFonts w:asciiTheme="majorHAnsi" w:hAnsiTheme="majorHAnsi" w:cs="Arial"/>
          <w:sz w:val="22"/>
          <w:szCs w:val="22"/>
          <w:lang w:val="en-GB"/>
        </w:rPr>
        <w:t xml:space="preserve"> assembly is protected by </w:t>
      </w:r>
      <w:r w:rsidR="00D0588C">
        <w:rPr>
          <w:rFonts w:asciiTheme="majorHAnsi" w:hAnsiTheme="majorHAnsi" w:cs="Arial"/>
          <w:sz w:val="22"/>
          <w:szCs w:val="22"/>
          <w:lang w:val="en-GB"/>
        </w:rPr>
        <w:t>A</w:t>
      </w:r>
      <w:r w:rsidRPr="00100DE7">
        <w:rPr>
          <w:rFonts w:asciiTheme="majorHAnsi" w:hAnsiTheme="majorHAnsi" w:cs="Arial"/>
          <w:sz w:val="22"/>
          <w:szCs w:val="22"/>
          <w:lang w:val="en-GB"/>
        </w:rPr>
        <w:t>rticle 21</w:t>
      </w:r>
      <w:r>
        <w:rPr>
          <w:rFonts w:asciiTheme="majorHAnsi" w:hAnsiTheme="majorHAnsi" w:cs="Arial"/>
          <w:sz w:val="22"/>
          <w:szCs w:val="22"/>
          <w:lang w:val="en-GB"/>
        </w:rPr>
        <w:t xml:space="preserve"> ICCPR</w:t>
      </w:r>
      <w:r w:rsidRPr="00100DE7">
        <w:rPr>
          <w:rFonts w:asciiTheme="majorHAnsi" w:hAnsiTheme="majorHAnsi" w:cs="Arial"/>
          <w:sz w:val="22"/>
          <w:szCs w:val="22"/>
          <w:lang w:val="en-GB"/>
        </w:rPr>
        <w:t xml:space="preserve"> entails a two-stage process</w:t>
      </w:r>
      <w:r>
        <w:rPr>
          <w:rFonts w:asciiTheme="majorHAnsi" w:hAnsiTheme="majorHAnsi" w:cs="Arial"/>
          <w:sz w:val="22"/>
          <w:szCs w:val="22"/>
          <w:lang w:val="en-GB"/>
        </w:rPr>
        <w:t>: i</w:t>
      </w:r>
      <w:r w:rsidRPr="00100DE7">
        <w:rPr>
          <w:rFonts w:asciiTheme="majorHAnsi" w:hAnsiTheme="majorHAnsi" w:cs="Arial"/>
          <w:sz w:val="22"/>
          <w:szCs w:val="22"/>
          <w:lang w:val="en-GB"/>
        </w:rPr>
        <w:t xml:space="preserve">t must first be established whether the conduct falls within the </w:t>
      </w:r>
      <w:r w:rsidRPr="00100DE7">
        <w:rPr>
          <w:rFonts w:asciiTheme="majorHAnsi" w:hAnsiTheme="majorHAnsi" w:cs="Arial"/>
          <w:i/>
          <w:iCs/>
          <w:sz w:val="22"/>
          <w:szCs w:val="22"/>
          <w:lang w:val="en-GB"/>
        </w:rPr>
        <w:t xml:space="preserve">scope </w:t>
      </w:r>
      <w:r w:rsidRPr="00100DE7">
        <w:rPr>
          <w:rFonts w:asciiTheme="majorHAnsi" w:hAnsiTheme="majorHAnsi" w:cs="Arial"/>
          <w:sz w:val="22"/>
          <w:szCs w:val="22"/>
          <w:lang w:val="en-GB"/>
        </w:rPr>
        <w:t>of the right</w:t>
      </w:r>
      <w:r>
        <w:rPr>
          <w:rFonts w:asciiTheme="majorHAnsi" w:hAnsiTheme="majorHAnsi" w:cs="Arial"/>
          <w:sz w:val="22"/>
          <w:szCs w:val="22"/>
          <w:lang w:val="en-GB"/>
        </w:rPr>
        <w:t xml:space="preserve">, and </w:t>
      </w:r>
      <w:r w:rsidR="002A3F2F">
        <w:rPr>
          <w:rFonts w:asciiTheme="majorHAnsi" w:hAnsiTheme="majorHAnsi" w:cs="Arial"/>
          <w:sz w:val="22"/>
          <w:szCs w:val="22"/>
          <w:lang w:val="en-GB"/>
        </w:rPr>
        <w:t xml:space="preserve">if so, it must secondly be established </w:t>
      </w:r>
      <w:r w:rsidRPr="00100DE7">
        <w:rPr>
          <w:rFonts w:asciiTheme="majorHAnsi" w:hAnsiTheme="majorHAnsi" w:cs="Arial"/>
          <w:sz w:val="22"/>
          <w:szCs w:val="22"/>
          <w:lang w:val="en-GB"/>
        </w:rPr>
        <w:t xml:space="preserve">whether or not legitimate </w:t>
      </w:r>
      <w:r w:rsidRPr="00100DE7">
        <w:rPr>
          <w:rFonts w:asciiTheme="majorHAnsi" w:hAnsiTheme="majorHAnsi" w:cs="Arial"/>
          <w:i/>
          <w:iCs/>
          <w:sz w:val="22"/>
          <w:szCs w:val="22"/>
          <w:lang w:val="en-GB"/>
        </w:rPr>
        <w:t>restrictions</w:t>
      </w:r>
      <w:r w:rsidRPr="00100DE7">
        <w:rPr>
          <w:rFonts w:asciiTheme="majorHAnsi" w:hAnsiTheme="majorHAnsi" w:cs="Arial"/>
          <w:sz w:val="22"/>
          <w:szCs w:val="22"/>
          <w:lang w:val="en-GB"/>
        </w:rPr>
        <w:t xml:space="preserve"> apply.</w:t>
      </w:r>
      <w:r w:rsidR="00A84E48">
        <w:rPr>
          <w:rFonts w:asciiTheme="majorHAnsi" w:hAnsiTheme="majorHAnsi" w:cs="Arial"/>
          <w:sz w:val="22"/>
          <w:szCs w:val="22"/>
          <w:lang w:val="en-GB"/>
        </w:rPr>
        <w:t xml:space="preserve"> </w:t>
      </w:r>
    </w:p>
    <w:p w14:paraId="3DA8E599" w14:textId="77777777" w:rsidR="002670FA" w:rsidRDefault="002A3F2F" w:rsidP="001B6F72">
      <w:pPr>
        <w:pStyle w:val="NormalWeb"/>
        <w:rPr>
          <w:rFonts w:asciiTheme="majorHAnsi" w:hAnsiTheme="majorHAnsi" w:cs="Arial"/>
          <w:sz w:val="22"/>
          <w:szCs w:val="22"/>
          <w:lang w:val="en-GB"/>
        </w:rPr>
      </w:pPr>
      <w:r>
        <w:rPr>
          <w:rFonts w:asciiTheme="majorHAnsi" w:hAnsiTheme="majorHAnsi" w:cs="Arial"/>
          <w:sz w:val="22"/>
          <w:szCs w:val="22"/>
          <w:lang w:val="en-GB"/>
        </w:rPr>
        <w:t xml:space="preserve">National authorities will sometimes be tempted to interpret the scope of the right </w:t>
      </w:r>
      <w:r w:rsidR="00D50F83">
        <w:rPr>
          <w:rFonts w:asciiTheme="majorHAnsi" w:hAnsiTheme="majorHAnsi" w:cs="Arial"/>
          <w:sz w:val="22"/>
          <w:szCs w:val="22"/>
          <w:lang w:val="en-GB"/>
        </w:rPr>
        <w:t xml:space="preserve">unduly </w:t>
      </w:r>
      <w:r>
        <w:rPr>
          <w:rFonts w:asciiTheme="majorHAnsi" w:hAnsiTheme="majorHAnsi" w:cs="Arial"/>
          <w:sz w:val="22"/>
          <w:szCs w:val="22"/>
          <w:lang w:val="en-GB"/>
        </w:rPr>
        <w:t xml:space="preserve">narrowly, so as to avoid </w:t>
      </w:r>
      <w:r w:rsidR="00AC18B4">
        <w:rPr>
          <w:rFonts w:asciiTheme="majorHAnsi" w:hAnsiTheme="majorHAnsi" w:cs="Arial"/>
          <w:sz w:val="22"/>
          <w:szCs w:val="22"/>
          <w:lang w:val="en-GB"/>
        </w:rPr>
        <w:t>reaching the second stage in which they must justify</w:t>
      </w:r>
      <w:r w:rsidR="00D50F83">
        <w:rPr>
          <w:rFonts w:asciiTheme="majorHAnsi" w:hAnsiTheme="majorHAnsi" w:cs="Arial"/>
          <w:sz w:val="22"/>
          <w:szCs w:val="22"/>
          <w:lang w:val="en-GB"/>
        </w:rPr>
        <w:t xml:space="preserve"> the</w:t>
      </w:r>
      <w:r w:rsidR="000C1D17">
        <w:rPr>
          <w:rFonts w:asciiTheme="majorHAnsi" w:hAnsiTheme="majorHAnsi" w:cs="Arial"/>
          <w:sz w:val="22"/>
          <w:szCs w:val="22"/>
          <w:lang w:val="en-GB"/>
        </w:rPr>
        <w:t xml:space="preserve"> restriction</w:t>
      </w:r>
      <w:r w:rsidR="00AC18B4">
        <w:rPr>
          <w:rFonts w:asciiTheme="majorHAnsi" w:hAnsiTheme="majorHAnsi" w:cs="Arial"/>
          <w:sz w:val="22"/>
          <w:szCs w:val="22"/>
          <w:lang w:val="en-GB"/>
        </w:rPr>
        <w:t xml:space="preserve">. </w:t>
      </w:r>
      <w:r w:rsidR="00D50F83">
        <w:rPr>
          <w:rFonts w:asciiTheme="majorHAnsi" w:hAnsiTheme="majorHAnsi" w:cs="Arial"/>
          <w:sz w:val="22"/>
          <w:szCs w:val="22"/>
          <w:lang w:val="en-GB"/>
        </w:rPr>
        <w:t xml:space="preserve">There are a few places in which the draft </w:t>
      </w:r>
      <w:r w:rsidR="000C1D17">
        <w:rPr>
          <w:rFonts w:asciiTheme="majorHAnsi" w:hAnsiTheme="majorHAnsi" w:cs="Arial"/>
          <w:sz w:val="22"/>
          <w:szCs w:val="22"/>
          <w:lang w:val="en-GB"/>
        </w:rPr>
        <w:t xml:space="preserve">in our view </w:t>
      </w:r>
      <w:r w:rsidR="00D50F83">
        <w:rPr>
          <w:rFonts w:asciiTheme="majorHAnsi" w:hAnsiTheme="majorHAnsi" w:cs="Arial"/>
          <w:sz w:val="22"/>
          <w:szCs w:val="22"/>
          <w:lang w:val="en-GB"/>
        </w:rPr>
        <w:t xml:space="preserve">leaves too much room for such manoeuvring. </w:t>
      </w:r>
    </w:p>
    <w:p w14:paraId="42E2F9D2" w14:textId="232B1CD2" w:rsidR="00DB6E55" w:rsidRDefault="00D16AAF" w:rsidP="001B6F72">
      <w:pPr>
        <w:pStyle w:val="NormalWeb"/>
        <w:rPr>
          <w:rFonts w:asciiTheme="majorHAnsi" w:hAnsiTheme="majorHAnsi" w:cs="Arial"/>
          <w:sz w:val="22"/>
          <w:szCs w:val="22"/>
          <w:lang w:val="en-GB"/>
        </w:rPr>
      </w:pPr>
      <w:r>
        <w:rPr>
          <w:rFonts w:asciiTheme="majorHAnsi" w:hAnsiTheme="majorHAnsi" w:cs="Arial"/>
          <w:sz w:val="22"/>
          <w:szCs w:val="22"/>
          <w:lang w:val="en-GB"/>
        </w:rPr>
        <w:t>One example occurs in paragraph</w:t>
      </w:r>
      <w:r w:rsidR="00DB6E55">
        <w:rPr>
          <w:rFonts w:asciiTheme="majorHAnsi" w:hAnsiTheme="majorHAnsi" w:cs="Arial"/>
          <w:sz w:val="22"/>
          <w:szCs w:val="22"/>
          <w:lang w:val="en-GB"/>
        </w:rPr>
        <w:t xml:space="preserve"> 18</w:t>
      </w:r>
      <w:r>
        <w:rPr>
          <w:rFonts w:asciiTheme="majorHAnsi" w:hAnsiTheme="majorHAnsi" w:cs="Arial"/>
          <w:sz w:val="22"/>
          <w:szCs w:val="22"/>
          <w:lang w:val="en-GB"/>
        </w:rPr>
        <w:t xml:space="preserve">, which </w:t>
      </w:r>
      <w:r w:rsidR="002670FA">
        <w:rPr>
          <w:rFonts w:asciiTheme="majorHAnsi" w:hAnsiTheme="majorHAnsi" w:cs="Arial"/>
          <w:sz w:val="22"/>
          <w:szCs w:val="22"/>
          <w:lang w:val="en-GB"/>
        </w:rPr>
        <w:t>states that</w:t>
      </w:r>
      <w:r w:rsidR="00DB6E55">
        <w:rPr>
          <w:rFonts w:asciiTheme="majorHAnsi" w:hAnsiTheme="majorHAnsi" w:cs="Arial"/>
          <w:sz w:val="22"/>
          <w:szCs w:val="22"/>
          <w:lang w:val="en-GB"/>
        </w:rPr>
        <w:t xml:space="preserve"> “[c]</w:t>
      </w:r>
      <w:proofErr w:type="spellStart"/>
      <w:r w:rsidR="00DB6E55" w:rsidRPr="00DB6E55">
        <w:rPr>
          <w:rFonts w:asciiTheme="majorHAnsi" w:hAnsiTheme="majorHAnsi" w:cs="Arial"/>
          <w:sz w:val="22"/>
          <w:szCs w:val="22"/>
          <w:lang w:val="en-GB"/>
        </w:rPr>
        <w:t>ivil</w:t>
      </w:r>
      <w:proofErr w:type="spellEnd"/>
      <w:r w:rsidR="00DB6E55" w:rsidRPr="00DB6E55">
        <w:rPr>
          <w:rFonts w:asciiTheme="majorHAnsi" w:hAnsiTheme="majorHAnsi" w:cs="Arial"/>
          <w:sz w:val="22"/>
          <w:szCs w:val="22"/>
          <w:lang w:val="en-GB"/>
        </w:rPr>
        <w:t xml:space="preserve"> disobedience or direct-action campaigns are </w:t>
      </w:r>
      <w:r w:rsidR="00DB6E55" w:rsidRPr="00455DDE">
        <w:rPr>
          <w:rFonts w:asciiTheme="majorHAnsi" w:hAnsiTheme="majorHAnsi" w:cs="Arial"/>
          <w:sz w:val="22"/>
          <w:szCs w:val="22"/>
          <w:u w:val="single"/>
          <w:lang w:val="en-GB"/>
        </w:rPr>
        <w:t>in principle</w:t>
      </w:r>
      <w:r w:rsidR="00DB6E55" w:rsidRPr="00DB6E55">
        <w:rPr>
          <w:rFonts w:asciiTheme="majorHAnsi" w:hAnsiTheme="majorHAnsi" w:cs="Arial"/>
          <w:sz w:val="22"/>
          <w:szCs w:val="22"/>
          <w:lang w:val="en-GB"/>
        </w:rPr>
        <w:t xml:space="preserve"> covered by article 21, provided they are non-violent</w:t>
      </w:r>
      <w:r w:rsidR="00DB6E55">
        <w:rPr>
          <w:rFonts w:asciiTheme="majorHAnsi" w:hAnsiTheme="majorHAnsi" w:cs="Arial"/>
          <w:sz w:val="22"/>
          <w:szCs w:val="22"/>
          <w:lang w:val="en-GB"/>
        </w:rPr>
        <w:t>”</w:t>
      </w:r>
      <w:r w:rsidR="00455DDE">
        <w:rPr>
          <w:rFonts w:asciiTheme="majorHAnsi" w:hAnsiTheme="majorHAnsi" w:cs="Arial"/>
          <w:sz w:val="22"/>
          <w:szCs w:val="22"/>
          <w:lang w:val="en-GB"/>
        </w:rPr>
        <w:t xml:space="preserve"> (emphasis added).</w:t>
      </w:r>
      <w:r w:rsidR="00DB6E55">
        <w:rPr>
          <w:rFonts w:asciiTheme="majorHAnsi" w:hAnsiTheme="majorHAnsi" w:cs="Arial"/>
          <w:sz w:val="22"/>
          <w:szCs w:val="22"/>
          <w:lang w:val="en-GB"/>
        </w:rPr>
        <w:t xml:space="preserve"> Th</w:t>
      </w:r>
      <w:r w:rsidR="00455DDE">
        <w:rPr>
          <w:rFonts w:asciiTheme="majorHAnsi" w:hAnsiTheme="majorHAnsi" w:cs="Arial"/>
          <w:sz w:val="22"/>
          <w:szCs w:val="22"/>
          <w:lang w:val="en-GB"/>
        </w:rPr>
        <w:t>e wording</w:t>
      </w:r>
      <w:r w:rsidR="00DB6E55">
        <w:rPr>
          <w:rFonts w:asciiTheme="majorHAnsi" w:hAnsiTheme="majorHAnsi" w:cs="Arial"/>
          <w:sz w:val="22"/>
          <w:szCs w:val="22"/>
          <w:lang w:val="en-GB"/>
        </w:rPr>
        <w:t xml:space="preserve"> seem</w:t>
      </w:r>
      <w:r w:rsidR="00455DDE">
        <w:rPr>
          <w:rFonts w:asciiTheme="majorHAnsi" w:hAnsiTheme="majorHAnsi" w:cs="Arial"/>
          <w:sz w:val="22"/>
          <w:szCs w:val="22"/>
          <w:lang w:val="en-GB"/>
        </w:rPr>
        <w:t>s</w:t>
      </w:r>
      <w:r w:rsidR="00DB6E55">
        <w:rPr>
          <w:rFonts w:asciiTheme="majorHAnsi" w:hAnsiTheme="majorHAnsi" w:cs="Arial"/>
          <w:sz w:val="22"/>
          <w:szCs w:val="22"/>
          <w:lang w:val="en-GB"/>
        </w:rPr>
        <w:t xml:space="preserve"> to imply that there may also be assemblies of this kind that, while non-violent, are nevertheless outside of article 21. </w:t>
      </w:r>
      <w:r w:rsidR="00455DDE">
        <w:rPr>
          <w:rFonts w:asciiTheme="majorHAnsi" w:hAnsiTheme="majorHAnsi" w:cs="Arial"/>
          <w:sz w:val="22"/>
          <w:szCs w:val="22"/>
          <w:lang w:val="en-GB"/>
        </w:rPr>
        <w:t>That should not be the case.</w:t>
      </w:r>
    </w:p>
    <w:p w14:paraId="6ABB6A8E" w14:textId="6C176003" w:rsidR="00DF0F12" w:rsidRDefault="005A341C" w:rsidP="00DF0F12">
      <w:pPr>
        <w:pStyle w:val="NormalWeb"/>
        <w:rPr>
          <w:rFonts w:asciiTheme="majorHAnsi" w:hAnsiTheme="majorHAnsi" w:cs="Arial"/>
          <w:sz w:val="22"/>
          <w:szCs w:val="22"/>
          <w:lang w:val="en-GB"/>
        </w:rPr>
      </w:pPr>
      <w:r>
        <w:rPr>
          <w:rFonts w:asciiTheme="majorHAnsi" w:hAnsiTheme="majorHAnsi" w:cs="Arial"/>
          <w:sz w:val="22"/>
          <w:szCs w:val="22"/>
          <w:lang w:val="en-GB"/>
        </w:rPr>
        <w:t>Secondly</w:t>
      </w:r>
      <w:r w:rsidR="00F123B1">
        <w:rPr>
          <w:rFonts w:asciiTheme="majorHAnsi" w:hAnsiTheme="majorHAnsi" w:cs="Arial"/>
          <w:sz w:val="22"/>
          <w:szCs w:val="22"/>
          <w:lang w:val="en-GB"/>
        </w:rPr>
        <w:t xml:space="preserve">, </w:t>
      </w:r>
      <w:r w:rsidR="00C35DBE">
        <w:rPr>
          <w:rFonts w:asciiTheme="majorHAnsi" w:hAnsiTheme="majorHAnsi" w:cs="Arial"/>
          <w:sz w:val="22"/>
          <w:szCs w:val="22"/>
          <w:lang w:val="en-GB"/>
        </w:rPr>
        <w:t>paragraph 20</w:t>
      </w:r>
      <w:r w:rsidR="00F123B1">
        <w:rPr>
          <w:rFonts w:asciiTheme="majorHAnsi" w:hAnsiTheme="majorHAnsi" w:cs="Arial"/>
          <w:sz w:val="22"/>
          <w:szCs w:val="22"/>
          <w:lang w:val="en-GB"/>
        </w:rPr>
        <w:t xml:space="preserve"> provides that</w:t>
      </w:r>
      <w:r w:rsidR="00C35DBE">
        <w:rPr>
          <w:rFonts w:asciiTheme="majorHAnsi" w:hAnsiTheme="majorHAnsi" w:cs="Arial"/>
          <w:sz w:val="22"/>
          <w:szCs w:val="22"/>
          <w:lang w:val="en-GB"/>
        </w:rPr>
        <w:t xml:space="preserve"> “</w:t>
      </w:r>
      <w:r w:rsidR="00F123B1">
        <w:rPr>
          <w:rFonts w:asciiTheme="majorHAnsi" w:hAnsiTheme="majorHAnsi" w:cs="Arial"/>
          <w:sz w:val="22"/>
          <w:szCs w:val="22"/>
          <w:lang w:val="en-GB"/>
        </w:rPr>
        <w:t>[v]</w:t>
      </w:r>
      <w:proofErr w:type="spellStart"/>
      <w:r w:rsidR="00C35DBE" w:rsidRPr="00C35DBE">
        <w:rPr>
          <w:rFonts w:asciiTheme="majorHAnsi" w:hAnsiTheme="majorHAnsi" w:cs="Arial"/>
          <w:sz w:val="22"/>
          <w:szCs w:val="22"/>
          <w:lang w:val="en-GB"/>
        </w:rPr>
        <w:t>iolence</w:t>
      </w:r>
      <w:proofErr w:type="spellEnd"/>
      <w:r w:rsidR="00C35DBE" w:rsidRPr="00C35DBE">
        <w:rPr>
          <w:rFonts w:asciiTheme="majorHAnsi" w:hAnsiTheme="majorHAnsi" w:cs="Arial"/>
          <w:sz w:val="22"/>
          <w:szCs w:val="22"/>
          <w:lang w:val="en-GB"/>
        </w:rPr>
        <w:t xml:space="preserve"> by the authorities against participants in a peaceful assembly does not </w:t>
      </w:r>
      <w:r w:rsidR="00C35DBE" w:rsidRPr="00C35DBE">
        <w:rPr>
          <w:rFonts w:asciiTheme="majorHAnsi" w:hAnsiTheme="majorHAnsi" w:cs="Arial"/>
          <w:sz w:val="22"/>
          <w:szCs w:val="22"/>
          <w:u w:val="single"/>
          <w:lang w:val="en-GB"/>
        </w:rPr>
        <w:t>in itself</w:t>
      </w:r>
      <w:r w:rsidR="00C35DBE" w:rsidRPr="00C35DBE">
        <w:rPr>
          <w:rFonts w:asciiTheme="majorHAnsi" w:hAnsiTheme="majorHAnsi" w:cs="Arial"/>
          <w:sz w:val="22"/>
          <w:szCs w:val="22"/>
          <w:lang w:val="en-GB"/>
        </w:rPr>
        <w:t xml:space="preserve"> render the assembly violent.</w:t>
      </w:r>
      <w:r w:rsidR="00C35DBE">
        <w:rPr>
          <w:rFonts w:asciiTheme="majorHAnsi" w:hAnsiTheme="majorHAnsi" w:cs="Arial"/>
          <w:sz w:val="22"/>
          <w:szCs w:val="22"/>
          <w:lang w:val="en-GB"/>
        </w:rPr>
        <w:t xml:space="preserve">” </w:t>
      </w:r>
      <w:r w:rsidR="00755DDD">
        <w:rPr>
          <w:rFonts w:asciiTheme="majorHAnsi" w:hAnsiTheme="majorHAnsi" w:cs="Arial"/>
          <w:sz w:val="22"/>
          <w:szCs w:val="22"/>
          <w:lang w:val="en-GB"/>
        </w:rPr>
        <w:t xml:space="preserve">This </w:t>
      </w:r>
      <w:r w:rsidR="00350D7D">
        <w:rPr>
          <w:rFonts w:asciiTheme="majorHAnsi" w:hAnsiTheme="majorHAnsi" w:cs="Arial"/>
          <w:sz w:val="22"/>
          <w:szCs w:val="22"/>
          <w:lang w:val="en-GB"/>
        </w:rPr>
        <w:t>creates the troubling impression</w:t>
      </w:r>
      <w:r w:rsidR="00755DDD">
        <w:rPr>
          <w:rFonts w:asciiTheme="majorHAnsi" w:hAnsiTheme="majorHAnsi" w:cs="Arial"/>
          <w:sz w:val="22"/>
          <w:szCs w:val="22"/>
          <w:lang w:val="en-GB"/>
        </w:rPr>
        <w:t xml:space="preserve"> that violence used by authorities can nevertheless </w:t>
      </w:r>
      <w:r w:rsidR="00732D23">
        <w:rPr>
          <w:rFonts w:asciiTheme="majorHAnsi" w:hAnsiTheme="majorHAnsi" w:cs="Arial"/>
          <w:sz w:val="22"/>
          <w:szCs w:val="22"/>
          <w:lang w:val="en-GB"/>
        </w:rPr>
        <w:t>contribute in some way</w:t>
      </w:r>
      <w:r w:rsidR="00A40546">
        <w:rPr>
          <w:rFonts w:asciiTheme="majorHAnsi" w:hAnsiTheme="majorHAnsi" w:cs="Arial"/>
          <w:sz w:val="22"/>
          <w:szCs w:val="22"/>
          <w:lang w:val="en-GB"/>
        </w:rPr>
        <w:t xml:space="preserve"> </w:t>
      </w:r>
      <w:r w:rsidR="00755DDD">
        <w:rPr>
          <w:rFonts w:asciiTheme="majorHAnsi" w:hAnsiTheme="majorHAnsi" w:cs="Arial"/>
          <w:sz w:val="22"/>
          <w:szCs w:val="22"/>
          <w:lang w:val="en-GB"/>
        </w:rPr>
        <w:t xml:space="preserve">to </w:t>
      </w:r>
      <w:r w:rsidR="00170016">
        <w:rPr>
          <w:rFonts w:asciiTheme="majorHAnsi" w:hAnsiTheme="majorHAnsi" w:cs="Arial"/>
          <w:sz w:val="22"/>
          <w:szCs w:val="22"/>
          <w:lang w:val="en-GB"/>
        </w:rPr>
        <w:t>removing</w:t>
      </w:r>
      <w:r w:rsidR="00755DDD">
        <w:rPr>
          <w:rFonts w:asciiTheme="majorHAnsi" w:hAnsiTheme="majorHAnsi" w:cs="Arial"/>
          <w:sz w:val="22"/>
          <w:szCs w:val="22"/>
          <w:lang w:val="en-GB"/>
        </w:rPr>
        <w:t xml:space="preserve"> an otherwise peaceful assembly </w:t>
      </w:r>
      <w:r w:rsidR="00170016">
        <w:rPr>
          <w:rFonts w:asciiTheme="majorHAnsi" w:hAnsiTheme="majorHAnsi" w:cs="Arial"/>
          <w:sz w:val="22"/>
          <w:szCs w:val="22"/>
          <w:lang w:val="en-GB"/>
        </w:rPr>
        <w:t>from the protection offered by</w:t>
      </w:r>
      <w:r w:rsidR="00755DDD">
        <w:rPr>
          <w:rFonts w:asciiTheme="majorHAnsi" w:hAnsiTheme="majorHAnsi" w:cs="Arial"/>
          <w:sz w:val="22"/>
          <w:szCs w:val="22"/>
          <w:lang w:val="en-GB"/>
        </w:rPr>
        <w:t xml:space="preserve"> article 21</w:t>
      </w:r>
      <w:r w:rsidR="00350D7D">
        <w:rPr>
          <w:rFonts w:asciiTheme="majorHAnsi" w:hAnsiTheme="majorHAnsi" w:cs="Arial"/>
          <w:sz w:val="22"/>
          <w:szCs w:val="22"/>
          <w:lang w:val="en-GB"/>
        </w:rPr>
        <w:t>.</w:t>
      </w:r>
    </w:p>
    <w:p w14:paraId="785AC1DC" w14:textId="07BDB43D" w:rsidR="00CF2310" w:rsidRPr="00DF0F12" w:rsidRDefault="00CF2310" w:rsidP="00D966D3">
      <w:pPr>
        <w:rPr>
          <w:rFonts w:asciiTheme="majorHAnsi" w:hAnsiTheme="majorHAnsi" w:cs="Arial"/>
          <w:sz w:val="22"/>
          <w:szCs w:val="22"/>
          <w:lang w:val="en-GB"/>
        </w:rPr>
      </w:pPr>
      <w:r>
        <w:rPr>
          <w:rFonts w:asciiTheme="majorHAnsi" w:hAnsiTheme="majorHAnsi" w:cs="Arial"/>
          <w:b/>
          <w:sz w:val="22"/>
          <w:szCs w:val="22"/>
          <w:u w:val="single"/>
          <w:lang w:val="en-GB"/>
        </w:rPr>
        <w:t>Assemblies on privately-owned property</w:t>
      </w:r>
    </w:p>
    <w:p w14:paraId="023E0452" w14:textId="1A8DC925" w:rsidR="00A83EFD" w:rsidRDefault="00CF2310" w:rsidP="005201FC">
      <w:pPr>
        <w:shd w:val="clear" w:color="auto" w:fill="FFFFFF"/>
        <w:spacing w:before="240"/>
        <w:rPr>
          <w:rFonts w:asciiTheme="majorHAnsi" w:hAnsiTheme="majorHAnsi" w:cs="Arial"/>
          <w:sz w:val="22"/>
          <w:szCs w:val="22"/>
          <w:lang w:val="en-GB"/>
        </w:rPr>
      </w:pPr>
      <w:r>
        <w:rPr>
          <w:rFonts w:asciiTheme="majorHAnsi" w:hAnsiTheme="majorHAnsi" w:cs="Arial"/>
          <w:sz w:val="22"/>
          <w:szCs w:val="22"/>
          <w:lang w:val="en-GB"/>
        </w:rPr>
        <w:t>Paragraph 13 states that “</w:t>
      </w:r>
      <w:r w:rsidR="00476264">
        <w:rPr>
          <w:rFonts w:asciiTheme="majorHAnsi" w:hAnsiTheme="majorHAnsi" w:cs="Arial"/>
          <w:sz w:val="22"/>
          <w:szCs w:val="22"/>
          <w:lang w:val="en-GB"/>
        </w:rPr>
        <w:t>[a]</w:t>
      </w:r>
      <w:proofErr w:type="spellStart"/>
      <w:r w:rsidRPr="00CF2310">
        <w:rPr>
          <w:rFonts w:asciiTheme="majorHAnsi" w:hAnsiTheme="majorHAnsi" w:cs="Arial"/>
          <w:sz w:val="22"/>
          <w:szCs w:val="22"/>
          <w:lang w:val="en-GB"/>
        </w:rPr>
        <w:t>ssemblies</w:t>
      </w:r>
      <w:proofErr w:type="spellEnd"/>
      <w:r w:rsidRPr="00CF2310">
        <w:rPr>
          <w:rFonts w:asciiTheme="majorHAnsi" w:hAnsiTheme="majorHAnsi" w:cs="Arial"/>
          <w:sz w:val="22"/>
          <w:szCs w:val="22"/>
          <w:lang w:val="en-GB"/>
        </w:rPr>
        <w:t xml:space="preserve"> can be held on publicly or privately-owned property [provided the property is publicly accessible].</w:t>
      </w:r>
      <w:r>
        <w:rPr>
          <w:rFonts w:asciiTheme="majorHAnsi" w:hAnsiTheme="majorHAnsi" w:cs="Arial"/>
          <w:sz w:val="22"/>
          <w:szCs w:val="22"/>
          <w:lang w:val="en-GB"/>
        </w:rPr>
        <w:t>” The square brackets indicate a</w:t>
      </w:r>
      <w:r w:rsidR="00250577">
        <w:rPr>
          <w:rFonts w:asciiTheme="majorHAnsi" w:hAnsiTheme="majorHAnsi" w:cs="Arial"/>
          <w:sz w:val="22"/>
          <w:szCs w:val="22"/>
          <w:lang w:val="en-GB"/>
        </w:rPr>
        <w:t xml:space="preserve"> yet-unresolved debate whether </w:t>
      </w:r>
      <w:r w:rsidR="00BA2FCE">
        <w:rPr>
          <w:rFonts w:asciiTheme="majorHAnsi" w:hAnsiTheme="majorHAnsi" w:cs="Arial"/>
          <w:sz w:val="22"/>
          <w:szCs w:val="22"/>
          <w:lang w:val="en-GB"/>
        </w:rPr>
        <w:t xml:space="preserve">a </w:t>
      </w:r>
      <w:r w:rsidR="00250577">
        <w:rPr>
          <w:rFonts w:asciiTheme="majorHAnsi" w:hAnsiTheme="majorHAnsi" w:cs="Arial"/>
          <w:sz w:val="22"/>
          <w:szCs w:val="22"/>
          <w:lang w:val="en-GB"/>
        </w:rPr>
        <w:t>gathering on property that is not publicly accessible</w:t>
      </w:r>
      <w:r w:rsidR="003B271E">
        <w:rPr>
          <w:rFonts w:asciiTheme="majorHAnsi" w:hAnsiTheme="majorHAnsi" w:cs="Arial"/>
          <w:sz w:val="22"/>
          <w:szCs w:val="22"/>
          <w:lang w:val="en-GB"/>
        </w:rPr>
        <w:t xml:space="preserve"> can</w:t>
      </w:r>
      <w:r w:rsidR="00250577">
        <w:rPr>
          <w:rFonts w:asciiTheme="majorHAnsi" w:hAnsiTheme="majorHAnsi" w:cs="Arial"/>
          <w:sz w:val="22"/>
          <w:szCs w:val="22"/>
          <w:lang w:val="en-GB"/>
        </w:rPr>
        <w:t xml:space="preserve"> constitute </w:t>
      </w:r>
      <w:r w:rsidR="00BA2FCE">
        <w:rPr>
          <w:rFonts w:asciiTheme="majorHAnsi" w:hAnsiTheme="majorHAnsi" w:cs="Arial"/>
          <w:sz w:val="22"/>
          <w:szCs w:val="22"/>
          <w:lang w:val="en-GB"/>
        </w:rPr>
        <w:t xml:space="preserve">an </w:t>
      </w:r>
      <w:r w:rsidR="00250577">
        <w:rPr>
          <w:rFonts w:asciiTheme="majorHAnsi" w:hAnsiTheme="majorHAnsi" w:cs="Arial"/>
          <w:sz w:val="22"/>
          <w:szCs w:val="22"/>
          <w:lang w:val="en-GB"/>
        </w:rPr>
        <w:t>assembl</w:t>
      </w:r>
      <w:r w:rsidR="00BA2FCE">
        <w:rPr>
          <w:rFonts w:asciiTheme="majorHAnsi" w:hAnsiTheme="majorHAnsi" w:cs="Arial"/>
          <w:sz w:val="22"/>
          <w:szCs w:val="22"/>
          <w:lang w:val="en-GB"/>
        </w:rPr>
        <w:t>y</w:t>
      </w:r>
      <w:r w:rsidR="00250577">
        <w:rPr>
          <w:rFonts w:asciiTheme="majorHAnsi" w:hAnsiTheme="majorHAnsi" w:cs="Arial"/>
          <w:sz w:val="22"/>
          <w:szCs w:val="22"/>
          <w:lang w:val="en-GB"/>
        </w:rPr>
        <w:t>.</w:t>
      </w:r>
    </w:p>
    <w:p w14:paraId="245D78FA" w14:textId="156E416F" w:rsidR="00DA65AD" w:rsidRDefault="000C336F" w:rsidP="00954A70">
      <w:pPr>
        <w:shd w:val="clear" w:color="auto" w:fill="FFFFFF"/>
        <w:spacing w:before="240"/>
        <w:rPr>
          <w:rFonts w:asciiTheme="majorHAnsi" w:eastAsia="Times New Roman" w:hAnsiTheme="majorHAnsi" w:cs="Times New Roman"/>
          <w:sz w:val="22"/>
          <w:szCs w:val="22"/>
          <w:lang w:val="en-GB"/>
        </w:rPr>
      </w:pPr>
      <w:r>
        <w:rPr>
          <w:rFonts w:asciiTheme="majorHAnsi" w:eastAsia="Times New Roman" w:hAnsiTheme="majorHAnsi" w:cs="Times New Roman"/>
          <w:sz w:val="22"/>
          <w:szCs w:val="22"/>
          <w:lang w:val="en-GB"/>
        </w:rPr>
        <w:t xml:space="preserve">We can see no good reason why a peaceful, expressive gathering on </w:t>
      </w:r>
      <w:r w:rsidR="00422D0F">
        <w:rPr>
          <w:rFonts w:asciiTheme="majorHAnsi" w:eastAsia="Times New Roman" w:hAnsiTheme="majorHAnsi" w:cs="Times New Roman"/>
          <w:sz w:val="22"/>
          <w:szCs w:val="22"/>
          <w:lang w:val="en-GB"/>
        </w:rPr>
        <w:t>such property</w:t>
      </w:r>
      <w:r>
        <w:rPr>
          <w:rFonts w:asciiTheme="majorHAnsi" w:eastAsia="Times New Roman" w:hAnsiTheme="majorHAnsi" w:cs="Times New Roman"/>
          <w:sz w:val="22"/>
          <w:szCs w:val="22"/>
          <w:lang w:val="en-GB"/>
        </w:rPr>
        <w:t xml:space="preserve"> – </w:t>
      </w:r>
      <w:r w:rsidR="00D22E88">
        <w:rPr>
          <w:rFonts w:asciiTheme="majorHAnsi" w:eastAsia="Times New Roman" w:hAnsiTheme="majorHAnsi" w:cs="Times New Roman"/>
          <w:sz w:val="22"/>
          <w:szCs w:val="22"/>
          <w:lang w:val="en-GB"/>
        </w:rPr>
        <w:t>for example,</w:t>
      </w:r>
      <w:r>
        <w:rPr>
          <w:rFonts w:asciiTheme="majorHAnsi" w:eastAsia="Times New Roman" w:hAnsiTheme="majorHAnsi" w:cs="Times New Roman"/>
          <w:sz w:val="22"/>
          <w:szCs w:val="22"/>
          <w:lang w:val="en-GB"/>
        </w:rPr>
        <w:t xml:space="preserve"> a protest </w:t>
      </w:r>
      <w:r w:rsidR="006F091D">
        <w:rPr>
          <w:rFonts w:asciiTheme="majorHAnsi" w:eastAsia="Times New Roman" w:hAnsiTheme="majorHAnsi" w:cs="Times New Roman"/>
          <w:sz w:val="22"/>
          <w:szCs w:val="22"/>
          <w:lang w:val="en-GB"/>
        </w:rPr>
        <w:t xml:space="preserve">within </w:t>
      </w:r>
      <w:r w:rsidR="00127E24">
        <w:rPr>
          <w:rFonts w:asciiTheme="majorHAnsi" w:eastAsia="Times New Roman" w:hAnsiTheme="majorHAnsi" w:cs="Times New Roman"/>
          <w:sz w:val="22"/>
          <w:szCs w:val="22"/>
          <w:lang w:val="en-GB"/>
        </w:rPr>
        <w:t xml:space="preserve">a fenced-off </w:t>
      </w:r>
      <w:r>
        <w:rPr>
          <w:rFonts w:asciiTheme="majorHAnsi" w:eastAsia="Times New Roman" w:hAnsiTheme="majorHAnsi" w:cs="Times New Roman"/>
          <w:sz w:val="22"/>
          <w:szCs w:val="22"/>
          <w:lang w:val="en-GB"/>
        </w:rPr>
        <w:t>industrial site</w:t>
      </w:r>
      <w:r w:rsidR="00D01EBE">
        <w:rPr>
          <w:rFonts w:asciiTheme="majorHAnsi" w:eastAsia="Times New Roman" w:hAnsiTheme="majorHAnsi" w:cs="Times New Roman"/>
          <w:sz w:val="22"/>
          <w:szCs w:val="22"/>
          <w:lang w:val="en-GB"/>
        </w:rPr>
        <w:t>, or a</w:t>
      </w:r>
      <w:r w:rsidR="00662EF9">
        <w:rPr>
          <w:rFonts w:asciiTheme="majorHAnsi" w:eastAsia="Times New Roman" w:hAnsiTheme="majorHAnsi" w:cs="Times New Roman"/>
          <w:sz w:val="22"/>
          <w:szCs w:val="22"/>
          <w:lang w:val="en-GB"/>
        </w:rPr>
        <w:t xml:space="preserve"> </w:t>
      </w:r>
      <w:r w:rsidR="00572A42">
        <w:rPr>
          <w:rFonts w:asciiTheme="majorHAnsi" w:eastAsia="Times New Roman" w:hAnsiTheme="majorHAnsi" w:cs="Times New Roman"/>
          <w:sz w:val="22"/>
          <w:szCs w:val="22"/>
          <w:lang w:val="en-GB"/>
        </w:rPr>
        <w:t>lecture</w:t>
      </w:r>
      <w:r w:rsidR="00662EF9">
        <w:rPr>
          <w:rFonts w:asciiTheme="majorHAnsi" w:eastAsia="Times New Roman" w:hAnsiTheme="majorHAnsi" w:cs="Times New Roman"/>
          <w:sz w:val="22"/>
          <w:szCs w:val="22"/>
          <w:lang w:val="en-GB"/>
        </w:rPr>
        <w:t xml:space="preserve"> in a private home</w:t>
      </w:r>
      <w:r w:rsidR="00D01EBE">
        <w:rPr>
          <w:rFonts w:asciiTheme="majorHAnsi" w:eastAsia="Times New Roman" w:hAnsiTheme="majorHAnsi" w:cs="Times New Roman"/>
          <w:sz w:val="22"/>
          <w:szCs w:val="22"/>
          <w:lang w:val="en-GB"/>
        </w:rPr>
        <w:t xml:space="preserve"> </w:t>
      </w:r>
      <w:r>
        <w:rPr>
          <w:rFonts w:asciiTheme="majorHAnsi" w:eastAsia="Times New Roman" w:hAnsiTheme="majorHAnsi" w:cs="Times New Roman"/>
          <w:sz w:val="22"/>
          <w:szCs w:val="22"/>
          <w:lang w:val="en-GB"/>
        </w:rPr>
        <w:t xml:space="preserve"> – should </w:t>
      </w:r>
      <w:r>
        <w:rPr>
          <w:rFonts w:asciiTheme="majorHAnsi" w:eastAsia="Times New Roman" w:hAnsiTheme="majorHAnsi" w:cs="Times New Roman"/>
          <w:sz w:val="22"/>
          <w:szCs w:val="22"/>
          <w:lang w:val="en-GB"/>
        </w:rPr>
        <w:lastRenderedPageBreak/>
        <w:t xml:space="preserve">fail to attract the protection of article 21 ICCPR. </w:t>
      </w:r>
      <w:r w:rsidR="00954A70">
        <w:rPr>
          <w:rFonts w:asciiTheme="majorHAnsi" w:eastAsia="Times New Roman" w:hAnsiTheme="majorHAnsi" w:cs="Times New Roman"/>
          <w:sz w:val="22"/>
          <w:szCs w:val="22"/>
          <w:lang w:val="en-GB"/>
        </w:rPr>
        <w:t xml:space="preserve">This would </w:t>
      </w:r>
      <w:r w:rsidR="00AA6C9B">
        <w:rPr>
          <w:rFonts w:asciiTheme="majorHAnsi" w:eastAsia="Times New Roman" w:hAnsiTheme="majorHAnsi" w:cs="Times New Roman"/>
          <w:sz w:val="22"/>
          <w:szCs w:val="22"/>
          <w:lang w:val="en-GB"/>
        </w:rPr>
        <w:t>have as a consequence</w:t>
      </w:r>
      <w:r w:rsidR="00954A70">
        <w:rPr>
          <w:rFonts w:asciiTheme="majorHAnsi" w:eastAsia="Times New Roman" w:hAnsiTheme="majorHAnsi" w:cs="Times New Roman"/>
          <w:sz w:val="22"/>
          <w:szCs w:val="22"/>
          <w:lang w:val="en-GB"/>
        </w:rPr>
        <w:t xml:space="preserve"> that the public authorities were no longer bound by the requirements </w:t>
      </w:r>
      <w:r w:rsidR="00954A70" w:rsidRPr="00954A70">
        <w:rPr>
          <w:rFonts w:asciiTheme="majorHAnsi" w:eastAsia="Times New Roman" w:hAnsiTheme="majorHAnsi" w:cs="Times New Roman"/>
          <w:sz w:val="22"/>
          <w:szCs w:val="22"/>
          <w:lang w:val="en-GB"/>
        </w:rPr>
        <w:t>of legality, necessity and proportionality</w:t>
      </w:r>
      <w:r w:rsidR="000F7715">
        <w:rPr>
          <w:rFonts w:asciiTheme="majorHAnsi" w:eastAsia="Times New Roman" w:hAnsiTheme="majorHAnsi" w:cs="Times New Roman"/>
          <w:sz w:val="22"/>
          <w:szCs w:val="22"/>
          <w:lang w:val="en-GB"/>
        </w:rPr>
        <w:t xml:space="preserve"> in </w:t>
      </w:r>
      <w:r w:rsidR="004714EF">
        <w:rPr>
          <w:rFonts w:asciiTheme="majorHAnsi" w:eastAsia="Times New Roman" w:hAnsiTheme="majorHAnsi" w:cs="Times New Roman"/>
          <w:sz w:val="22"/>
          <w:szCs w:val="22"/>
          <w:lang w:val="en-GB"/>
        </w:rPr>
        <w:t>their approach</w:t>
      </w:r>
      <w:r w:rsidR="000F7715">
        <w:rPr>
          <w:rFonts w:asciiTheme="majorHAnsi" w:eastAsia="Times New Roman" w:hAnsiTheme="majorHAnsi" w:cs="Times New Roman"/>
          <w:sz w:val="22"/>
          <w:szCs w:val="22"/>
          <w:lang w:val="en-GB"/>
        </w:rPr>
        <w:t xml:space="preserve"> to such </w:t>
      </w:r>
      <w:r w:rsidR="00662EF9">
        <w:rPr>
          <w:rFonts w:asciiTheme="majorHAnsi" w:eastAsia="Times New Roman" w:hAnsiTheme="majorHAnsi" w:cs="Times New Roman"/>
          <w:sz w:val="22"/>
          <w:szCs w:val="22"/>
          <w:lang w:val="en-GB"/>
        </w:rPr>
        <w:t>an event</w:t>
      </w:r>
      <w:r w:rsidR="000F7715">
        <w:rPr>
          <w:rFonts w:asciiTheme="majorHAnsi" w:eastAsia="Times New Roman" w:hAnsiTheme="majorHAnsi" w:cs="Times New Roman"/>
          <w:sz w:val="22"/>
          <w:szCs w:val="22"/>
          <w:lang w:val="en-GB"/>
        </w:rPr>
        <w:t>.</w:t>
      </w:r>
      <w:r w:rsidR="00DA65AD">
        <w:rPr>
          <w:rFonts w:asciiTheme="majorHAnsi" w:eastAsia="Times New Roman" w:hAnsiTheme="majorHAnsi" w:cs="Times New Roman"/>
          <w:sz w:val="22"/>
          <w:szCs w:val="22"/>
          <w:lang w:val="en-GB"/>
        </w:rPr>
        <w:t xml:space="preserve"> </w:t>
      </w:r>
    </w:p>
    <w:p w14:paraId="46CEDB65" w14:textId="5DA32713" w:rsidR="0072347F" w:rsidRPr="00D43E81" w:rsidRDefault="00DA65AD" w:rsidP="005201FC">
      <w:pPr>
        <w:shd w:val="clear" w:color="auto" w:fill="FFFFFF"/>
        <w:spacing w:before="240"/>
        <w:rPr>
          <w:rFonts w:asciiTheme="majorHAnsi" w:eastAsia="Times New Roman" w:hAnsiTheme="majorHAnsi" w:cs="Times New Roman"/>
          <w:sz w:val="22"/>
          <w:szCs w:val="22"/>
          <w:lang w:val="en-GB"/>
        </w:rPr>
      </w:pPr>
      <w:r>
        <w:rPr>
          <w:rFonts w:asciiTheme="majorHAnsi" w:eastAsia="Times New Roman" w:hAnsiTheme="majorHAnsi" w:cs="Times New Roman"/>
          <w:sz w:val="22"/>
          <w:szCs w:val="22"/>
          <w:lang w:val="en-GB"/>
        </w:rPr>
        <w:t>Regional instruments do not limit the scope of the right to gatherings</w:t>
      </w:r>
      <w:r w:rsidR="004C25C4">
        <w:rPr>
          <w:rFonts w:asciiTheme="majorHAnsi" w:eastAsia="Times New Roman" w:hAnsiTheme="majorHAnsi" w:cs="Times New Roman"/>
          <w:sz w:val="22"/>
          <w:szCs w:val="22"/>
          <w:lang w:val="en-GB"/>
        </w:rPr>
        <w:t xml:space="preserve"> that take place</w:t>
      </w:r>
      <w:r>
        <w:rPr>
          <w:rFonts w:asciiTheme="majorHAnsi" w:eastAsia="Times New Roman" w:hAnsiTheme="majorHAnsi" w:cs="Times New Roman"/>
          <w:sz w:val="22"/>
          <w:szCs w:val="22"/>
          <w:lang w:val="en-GB"/>
        </w:rPr>
        <w:t xml:space="preserve"> on publicly accessible property. For example, the </w:t>
      </w:r>
      <w:r w:rsidRPr="00BA2FCE">
        <w:rPr>
          <w:rFonts w:asciiTheme="majorHAnsi" w:eastAsia="Times New Roman" w:hAnsiTheme="majorHAnsi" w:cs="Times New Roman"/>
          <w:i/>
          <w:sz w:val="22"/>
          <w:szCs w:val="22"/>
        </w:rPr>
        <w:t>Guidelines on Freedom of Association and Assembly in Africa</w:t>
      </w:r>
      <w:r w:rsidRPr="00DA65AD">
        <w:rPr>
          <w:rFonts w:asciiTheme="majorHAnsi" w:eastAsia="Times New Roman" w:hAnsiTheme="majorHAnsi" w:cs="Times New Roman"/>
          <w:sz w:val="22"/>
          <w:szCs w:val="22"/>
        </w:rPr>
        <w:t xml:space="preserve"> </w:t>
      </w:r>
      <w:r>
        <w:rPr>
          <w:rFonts w:asciiTheme="majorHAnsi" w:eastAsia="Times New Roman" w:hAnsiTheme="majorHAnsi" w:cs="Times New Roman"/>
          <w:sz w:val="22"/>
          <w:szCs w:val="22"/>
        </w:rPr>
        <w:t>state simply that “[a]</w:t>
      </w:r>
      <w:proofErr w:type="spellStart"/>
      <w:r w:rsidRPr="00DA65AD">
        <w:rPr>
          <w:rFonts w:asciiTheme="majorHAnsi" w:eastAsia="Times New Roman" w:hAnsiTheme="majorHAnsi" w:cs="Times New Roman"/>
          <w:sz w:val="22"/>
          <w:szCs w:val="22"/>
        </w:rPr>
        <w:t>ssembly</w:t>
      </w:r>
      <w:proofErr w:type="spellEnd"/>
      <w:r w:rsidRPr="00DA65AD">
        <w:rPr>
          <w:rFonts w:asciiTheme="majorHAnsi" w:eastAsia="Times New Roman" w:hAnsiTheme="majorHAnsi" w:cs="Times New Roman"/>
          <w:sz w:val="22"/>
          <w:szCs w:val="22"/>
        </w:rPr>
        <w:t xml:space="preserve"> refers to an act of intentionally gathering, in private or in public, for an expressive purpose and for an extended duration.</w:t>
      </w:r>
      <w:r>
        <w:rPr>
          <w:rFonts w:asciiTheme="majorHAnsi" w:eastAsia="Times New Roman" w:hAnsiTheme="majorHAnsi" w:cs="Times New Roman"/>
          <w:sz w:val="22"/>
          <w:szCs w:val="22"/>
        </w:rPr>
        <w:t>”</w:t>
      </w:r>
      <w:r w:rsidR="00B85265">
        <w:rPr>
          <w:rStyle w:val="FootnoteReference"/>
          <w:rFonts w:asciiTheme="majorHAnsi" w:eastAsia="Times New Roman" w:hAnsiTheme="majorHAnsi" w:cs="Times New Roman"/>
          <w:sz w:val="22"/>
          <w:szCs w:val="22"/>
        </w:rPr>
        <w:footnoteReference w:id="1"/>
      </w:r>
      <w:r w:rsidR="00BA2FCE">
        <w:rPr>
          <w:rFonts w:asciiTheme="majorHAnsi" w:eastAsia="Times New Roman" w:hAnsiTheme="majorHAnsi" w:cs="Times New Roman"/>
          <w:sz w:val="22"/>
          <w:szCs w:val="22"/>
        </w:rPr>
        <w:t xml:space="preserve"> The </w:t>
      </w:r>
      <w:r w:rsidRPr="00B46D91">
        <w:rPr>
          <w:rFonts w:asciiTheme="majorHAnsi" w:hAnsiTheme="majorHAnsi" w:cs="Arial"/>
          <w:i/>
          <w:sz w:val="22"/>
          <w:szCs w:val="22"/>
          <w:lang w:val="en-GB"/>
        </w:rPr>
        <w:t>OSCE-ODIHR and Venice Commission Guidelines on Freedom of Peaceful Assembly</w:t>
      </w:r>
      <w:r w:rsidRPr="00B46D91">
        <w:rPr>
          <w:rFonts w:asciiTheme="majorHAnsi" w:hAnsiTheme="majorHAnsi" w:cs="Arial"/>
          <w:sz w:val="22"/>
          <w:szCs w:val="22"/>
          <w:lang w:val="en-GB"/>
        </w:rPr>
        <w:t xml:space="preserve"> </w:t>
      </w:r>
      <w:r w:rsidR="00BA2FCE">
        <w:rPr>
          <w:rFonts w:asciiTheme="majorHAnsi" w:hAnsiTheme="majorHAnsi" w:cs="Arial"/>
          <w:sz w:val="22"/>
          <w:szCs w:val="22"/>
          <w:lang w:val="en-GB"/>
        </w:rPr>
        <w:t xml:space="preserve">provide </w:t>
      </w:r>
      <w:r w:rsidR="008D3B2C" w:rsidRPr="00B46D91">
        <w:rPr>
          <w:rFonts w:asciiTheme="majorHAnsi" w:hAnsiTheme="majorHAnsi" w:cs="Arial"/>
          <w:sz w:val="22"/>
          <w:szCs w:val="22"/>
          <w:lang w:val="en-GB"/>
        </w:rPr>
        <w:t>that “</w:t>
      </w:r>
      <w:r w:rsidR="008D3B2C" w:rsidRPr="00B46D91">
        <w:rPr>
          <w:rFonts w:asciiTheme="majorHAnsi" w:eastAsia="Times New Roman" w:hAnsiTheme="majorHAnsi" w:cs="Times New Roman"/>
          <w:sz w:val="22"/>
          <w:szCs w:val="22"/>
          <w:lang w:val="en-GB"/>
        </w:rPr>
        <w:t xml:space="preserve">all types of peaceful assembly – both static and moving assemblies, as well as those that take place on </w:t>
      </w:r>
      <w:r w:rsidR="008D3B2C" w:rsidRPr="003D6813">
        <w:rPr>
          <w:rFonts w:asciiTheme="majorHAnsi" w:eastAsia="Times New Roman" w:hAnsiTheme="majorHAnsi" w:cs="Times New Roman"/>
          <w:sz w:val="22"/>
          <w:szCs w:val="22"/>
          <w:lang w:val="en-GB"/>
        </w:rPr>
        <w:t>publicly or</w:t>
      </w:r>
      <w:r w:rsidR="00B00C60" w:rsidRPr="003D6813">
        <w:rPr>
          <w:rFonts w:asciiTheme="majorHAnsi" w:eastAsia="Times New Roman" w:hAnsiTheme="majorHAnsi" w:cs="Times New Roman"/>
          <w:sz w:val="22"/>
          <w:szCs w:val="22"/>
          <w:lang w:val="en-GB"/>
        </w:rPr>
        <w:t xml:space="preserve"> privatel</w:t>
      </w:r>
      <w:r w:rsidR="008D3B2C" w:rsidRPr="003D6813">
        <w:rPr>
          <w:rFonts w:asciiTheme="majorHAnsi" w:eastAsia="Times New Roman" w:hAnsiTheme="majorHAnsi" w:cs="Times New Roman"/>
          <w:sz w:val="22"/>
          <w:szCs w:val="22"/>
          <w:lang w:val="en-GB"/>
        </w:rPr>
        <w:t>y owned premises or in enclosed structures</w:t>
      </w:r>
      <w:r w:rsidR="008D3B2C" w:rsidRPr="00B46D91">
        <w:rPr>
          <w:rFonts w:asciiTheme="majorHAnsi" w:eastAsia="Times New Roman" w:hAnsiTheme="majorHAnsi" w:cs="Times New Roman"/>
          <w:sz w:val="22"/>
          <w:szCs w:val="22"/>
          <w:lang w:val="en-GB"/>
        </w:rPr>
        <w:t xml:space="preserve"> – deserve protection</w:t>
      </w:r>
      <w:r w:rsidR="003D6813">
        <w:rPr>
          <w:rFonts w:asciiTheme="majorHAnsi" w:eastAsia="Times New Roman" w:hAnsiTheme="majorHAnsi" w:cs="Times New Roman"/>
          <w:sz w:val="22"/>
          <w:szCs w:val="22"/>
          <w:lang w:val="en-GB"/>
        </w:rPr>
        <w:t>.</w:t>
      </w:r>
      <w:r w:rsidR="008D3B2C" w:rsidRPr="00B46D91">
        <w:rPr>
          <w:rFonts w:asciiTheme="majorHAnsi" w:eastAsia="Times New Roman" w:hAnsiTheme="majorHAnsi" w:cs="Times New Roman"/>
          <w:sz w:val="22"/>
          <w:szCs w:val="22"/>
          <w:lang w:val="en-GB"/>
        </w:rPr>
        <w:t>”</w:t>
      </w:r>
      <w:r w:rsidR="00B85265" w:rsidRPr="00B46D91">
        <w:rPr>
          <w:rStyle w:val="FootnoteReference"/>
          <w:rFonts w:asciiTheme="majorHAnsi" w:hAnsiTheme="majorHAnsi" w:cs="Arial"/>
          <w:sz w:val="22"/>
          <w:szCs w:val="22"/>
          <w:lang w:val="en-GB"/>
        </w:rPr>
        <w:footnoteReference w:id="2"/>
      </w:r>
      <w:r w:rsidR="00870873" w:rsidRPr="00B46D91">
        <w:rPr>
          <w:rFonts w:asciiTheme="majorHAnsi" w:eastAsia="Times New Roman" w:hAnsiTheme="majorHAnsi" w:cs="Times New Roman"/>
          <w:sz w:val="22"/>
          <w:szCs w:val="22"/>
          <w:lang w:val="en-GB"/>
        </w:rPr>
        <w:t xml:space="preserve"> </w:t>
      </w:r>
      <w:r w:rsidR="00340239" w:rsidRPr="00B46D91">
        <w:rPr>
          <w:rFonts w:asciiTheme="majorHAnsi" w:eastAsia="Times New Roman" w:hAnsiTheme="majorHAnsi" w:cs="Times New Roman"/>
          <w:sz w:val="22"/>
          <w:szCs w:val="22"/>
          <w:lang w:val="en-GB"/>
        </w:rPr>
        <w:t>Thi</w:t>
      </w:r>
      <w:r w:rsidR="00A424F0" w:rsidRPr="00B46D91">
        <w:rPr>
          <w:rFonts w:asciiTheme="majorHAnsi" w:eastAsia="Times New Roman" w:hAnsiTheme="majorHAnsi" w:cs="Times New Roman"/>
          <w:sz w:val="22"/>
          <w:szCs w:val="22"/>
          <w:lang w:val="en-GB"/>
        </w:rPr>
        <w:t>s position appears correct to us</w:t>
      </w:r>
      <w:r w:rsidR="00E111A8" w:rsidRPr="00B46D91">
        <w:rPr>
          <w:rFonts w:asciiTheme="majorHAnsi" w:eastAsia="Times New Roman" w:hAnsiTheme="majorHAnsi" w:cs="Times New Roman"/>
          <w:sz w:val="22"/>
          <w:szCs w:val="22"/>
          <w:lang w:val="en-GB"/>
        </w:rPr>
        <w:t>.</w:t>
      </w:r>
      <w:r w:rsidR="00A424F0" w:rsidRPr="00B46D91">
        <w:rPr>
          <w:rFonts w:asciiTheme="majorHAnsi" w:eastAsia="Times New Roman" w:hAnsiTheme="majorHAnsi" w:cs="Times New Roman"/>
          <w:sz w:val="22"/>
          <w:szCs w:val="22"/>
          <w:lang w:val="en-GB"/>
        </w:rPr>
        <w:t xml:space="preserve"> </w:t>
      </w:r>
    </w:p>
    <w:p w14:paraId="2C1A0C9D" w14:textId="0A3CF573" w:rsidR="00A41EC9" w:rsidRPr="00B46D91" w:rsidRDefault="00173C5C" w:rsidP="000842C6">
      <w:pPr>
        <w:pStyle w:val="NormalWeb"/>
        <w:rPr>
          <w:rFonts w:asciiTheme="majorHAnsi" w:hAnsiTheme="majorHAnsi" w:cs="Arial"/>
          <w:b/>
          <w:sz w:val="22"/>
          <w:szCs w:val="22"/>
          <w:lang w:val="en-GB"/>
        </w:rPr>
      </w:pPr>
      <w:r>
        <w:rPr>
          <w:rFonts w:asciiTheme="majorHAnsi" w:hAnsiTheme="majorHAnsi" w:cs="Arial"/>
          <w:b/>
          <w:sz w:val="22"/>
          <w:szCs w:val="22"/>
          <w:u w:val="single"/>
          <w:lang w:val="en-GB"/>
        </w:rPr>
        <w:t>Assemblies and business</w:t>
      </w:r>
    </w:p>
    <w:p w14:paraId="3826ABCC" w14:textId="1AC489DC" w:rsidR="00173C5C" w:rsidRDefault="00173C5C" w:rsidP="00173C5C">
      <w:pPr>
        <w:pStyle w:val="NormalWeb"/>
        <w:rPr>
          <w:rFonts w:asciiTheme="majorHAnsi" w:hAnsiTheme="majorHAnsi" w:cs="Arial"/>
          <w:sz w:val="22"/>
          <w:szCs w:val="22"/>
          <w:lang w:val="en-GB"/>
        </w:rPr>
      </w:pPr>
      <w:r w:rsidRPr="00B46D91">
        <w:rPr>
          <w:rFonts w:asciiTheme="majorHAnsi" w:hAnsiTheme="majorHAnsi" w:cs="Arial"/>
          <w:sz w:val="22"/>
          <w:szCs w:val="22"/>
          <w:lang w:val="en-GB"/>
        </w:rPr>
        <w:t xml:space="preserve">It is GPI’s </w:t>
      </w:r>
      <w:r w:rsidR="00F27FDA">
        <w:rPr>
          <w:rFonts w:asciiTheme="majorHAnsi" w:hAnsiTheme="majorHAnsi" w:cs="Arial"/>
          <w:sz w:val="22"/>
          <w:szCs w:val="22"/>
          <w:lang w:val="en-GB"/>
        </w:rPr>
        <w:t>experience</w:t>
      </w:r>
      <w:r w:rsidRPr="00B46D91">
        <w:rPr>
          <w:rFonts w:asciiTheme="majorHAnsi" w:hAnsiTheme="majorHAnsi" w:cs="Arial"/>
          <w:sz w:val="22"/>
          <w:szCs w:val="22"/>
          <w:lang w:val="en-GB"/>
        </w:rPr>
        <w:t xml:space="preserve"> that </w:t>
      </w:r>
      <w:r w:rsidR="00F27FDA">
        <w:rPr>
          <w:rFonts w:asciiTheme="majorHAnsi" w:hAnsiTheme="majorHAnsi" w:cs="Arial"/>
          <w:sz w:val="22"/>
          <w:szCs w:val="22"/>
          <w:lang w:val="en-GB"/>
        </w:rPr>
        <w:t xml:space="preserve">authorities in </w:t>
      </w:r>
      <w:r w:rsidRPr="00B46D91">
        <w:rPr>
          <w:rFonts w:asciiTheme="majorHAnsi" w:hAnsiTheme="majorHAnsi" w:cs="Arial"/>
          <w:sz w:val="22"/>
          <w:szCs w:val="22"/>
          <w:lang w:val="en-GB"/>
        </w:rPr>
        <w:t xml:space="preserve">many jurisdictions display low or zero tolerance towards assemblies that cause disruption to a corporation or other private party. Such protests are often promptly dispersed, and courts seem to set a low threshold for the issuance of injunctions or </w:t>
      </w:r>
      <w:r w:rsidR="00CD084D">
        <w:rPr>
          <w:rFonts w:asciiTheme="majorHAnsi" w:hAnsiTheme="majorHAnsi" w:cs="Arial"/>
          <w:sz w:val="22"/>
          <w:szCs w:val="22"/>
          <w:lang w:val="en-GB"/>
        </w:rPr>
        <w:t xml:space="preserve">the awarding of </w:t>
      </w:r>
      <w:r w:rsidRPr="00B46D91">
        <w:rPr>
          <w:rFonts w:asciiTheme="majorHAnsi" w:hAnsiTheme="majorHAnsi" w:cs="Arial"/>
          <w:sz w:val="22"/>
          <w:szCs w:val="22"/>
          <w:lang w:val="en-GB"/>
        </w:rPr>
        <w:t>compensation.</w:t>
      </w:r>
      <w:r>
        <w:rPr>
          <w:rFonts w:asciiTheme="majorHAnsi" w:hAnsiTheme="majorHAnsi" w:cs="Arial"/>
          <w:sz w:val="22"/>
          <w:szCs w:val="22"/>
          <w:lang w:val="en-GB"/>
        </w:rPr>
        <w:t xml:space="preserve"> Accordingly, we welcome the statement in paragraph 35 that “[p]</w:t>
      </w:r>
      <w:proofErr w:type="spellStart"/>
      <w:r w:rsidRPr="00173C5C">
        <w:rPr>
          <w:rFonts w:asciiTheme="majorHAnsi" w:hAnsiTheme="majorHAnsi" w:cs="Arial"/>
          <w:sz w:val="22"/>
          <w:szCs w:val="22"/>
          <w:lang w:val="en-GB"/>
        </w:rPr>
        <w:t>rivate</w:t>
      </w:r>
      <w:proofErr w:type="spellEnd"/>
      <w:r w:rsidRPr="00173C5C">
        <w:rPr>
          <w:rFonts w:asciiTheme="majorHAnsi" w:hAnsiTheme="majorHAnsi" w:cs="Arial"/>
          <w:sz w:val="22"/>
          <w:szCs w:val="22"/>
          <w:lang w:val="en-GB"/>
        </w:rPr>
        <w:t xml:space="preserve"> entities and the broader society</w:t>
      </w:r>
      <w:r w:rsidR="001B0FCE">
        <w:rPr>
          <w:rFonts w:asciiTheme="majorHAnsi" w:hAnsiTheme="majorHAnsi" w:cs="Arial"/>
          <w:sz w:val="22"/>
          <w:szCs w:val="22"/>
          <w:lang w:val="en-GB"/>
        </w:rPr>
        <w:t xml:space="preserve"> …</w:t>
      </w:r>
      <w:r w:rsidRPr="00173C5C">
        <w:rPr>
          <w:rFonts w:asciiTheme="majorHAnsi" w:hAnsiTheme="majorHAnsi" w:cs="Arial"/>
          <w:sz w:val="22"/>
          <w:szCs w:val="22"/>
          <w:lang w:val="en-GB"/>
        </w:rPr>
        <w:t xml:space="preserve"> may be expected to accept some level of disruption, if this is required for the exercise of the right of peaceful assembly.</w:t>
      </w:r>
      <w:r w:rsidR="001B0FCE">
        <w:rPr>
          <w:rFonts w:asciiTheme="majorHAnsi" w:hAnsiTheme="majorHAnsi" w:cs="Arial"/>
          <w:sz w:val="22"/>
          <w:szCs w:val="22"/>
          <w:lang w:val="en-GB"/>
        </w:rPr>
        <w:t>”</w:t>
      </w:r>
    </w:p>
    <w:p w14:paraId="4B1FBF8D" w14:textId="2CD65387" w:rsidR="00D623C5" w:rsidRDefault="00DF37F9" w:rsidP="00D623C5">
      <w:pPr>
        <w:pStyle w:val="NormalWeb"/>
        <w:rPr>
          <w:rFonts w:asciiTheme="majorHAnsi" w:eastAsia="Times New Roman" w:hAnsiTheme="majorHAnsi"/>
          <w:color w:val="000000"/>
          <w:sz w:val="22"/>
          <w:szCs w:val="22"/>
          <w:lang w:val="en-GB"/>
        </w:rPr>
      </w:pPr>
      <w:r>
        <w:rPr>
          <w:rFonts w:asciiTheme="majorHAnsi" w:hAnsiTheme="majorHAnsi" w:cs="Arial"/>
          <w:sz w:val="22"/>
          <w:szCs w:val="22"/>
          <w:lang w:val="en-GB"/>
        </w:rPr>
        <w:t>P</w:t>
      </w:r>
      <w:r w:rsidR="00CD084D">
        <w:rPr>
          <w:rFonts w:asciiTheme="majorHAnsi" w:hAnsiTheme="majorHAnsi" w:cs="Arial"/>
          <w:sz w:val="22"/>
          <w:szCs w:val="22"/>
          <w:lang w:val="en-GB"/>
        </w:rPr>
        <w:t>articular tolerance can be expected of</w:t>
      </w:r>
      <w:r w:rsidR="00263302">
        <w:rPr>
          <w:rFonts w:asciiTheme="majorHAnsi" w:hAnsiTheme="majorHAnsi" w:cs="Arial"/>
          <w:sz w:val="22"/>
          <w:szCs w:val="22"/>
          <w:lang w:val="en-GB"/>
        </w:rPr>
        <w:t xml:space="preserve"> </w:t>
      </w:r>
      <w:r w:rsidR="00D45C1E">
        <w:rPr>
          <w:rFonts w:asciiTheme="majorHAnsi" w:hAnsiTheme="majorHAnsi" w:cs="Arial"/>
          <w:sz w:val="22"/>
          <w:szCs w:val="22"/>
          <w:lang w:val="en-GB"/>
        </w:rPr>
        <w:t>wealthy</w:t>
      </w:r>
      <w:r w:rsidR="00263302">
        <w:rPr>
          <w:rFonts w:asciiTheme="majorHAnsi" w:hAnsiTheme="majorHAnsi" w:cs="Arial"/>
          <w:sz w:val="22"/>
          <w:szCs w:val="22"/>
          <w:lang w:val="en-GB"/>
        </w:rPr>
        <w:t xml:space="preserve"> figures</w:t>
      </w:r>
      <w:r w:rsidR="00D45C1E">
        <w:rPr>
          <w:rFonts w:asciiTheme="majorHAnsi" w:hAnsiTheme="majorHAnsi" w:cs="Arial"/>
          <w:sz w:val="22"/>
          <w:szCs w:val="22"/>
          <w:lang w:val="en-GB"/>
        </w:rPr>
        <w:t xml:space="preserve"> and </w:t>
      </w:r>
      <w:r w:rsidR="00CD084D">
        <w:rPr>
          <w:rFonts w:asciiTheme="majorHAnsi" w:hAnsiTheme="majorHAnsi" w:cs="Arial"/>
          <w:sz w:val="22"/>
          <w:szCs w:val="22"/>
          <w:lang w:val="en-GB"/>
        </w:rPr>
        <w:t xml:space="preserve">large corporations, given their position of influence and </w:t>
      </w:r>
      <w:r w:rsidR="00F710A3">
        <w:rPr>
          <w:rFonts w:asciiTheme="majorHAnsi" w:hAnsiTheme="majorHAnsi" w:cs="Arial"/>
          <w:sz w:val="22"/>
          <w:szCs w:val="22"/>
          <w:lang w:val="en-GB"/>
        </w:rPr>
        <w:t>greater ability to absorb such impacts. The European Court of Human Rights (ECtHR) has repeatedly held that “</w:t>
      </w:r>
      <w:r w:rsidR="00CD084D" w:rsidRPr="00CD084D">
        <w:rPr>
          <w:rFonts w:asciiTheme="majorHAnsi" w:hAnsiTheme="majorHAnsi" w:cs="Arial"/>
          <w:sz w:val="22"/>
          <w:szCs w:val="22"/>
          <w:lang w:val="en-GB"/>
        </w:rPr>
        <w:t>large public companies inevitably and knowingly lay themselves open to close scrutiny of their acts and</w:t>
      </w:r>
      <w:r w:rsidR="00D45C1E">
        <w:rPr>
          <w:rFonts w:asciiTheme="majorHAnsi" w:hAnsiTheme="majorHAnsi" w:cs="Arial"/>
          <w:sz w:val="22"/>
          <w:szCs w:val="22"/>
          <w:lang w:val="en-GB"/>
        </w:rPr>
        <w:t>,</w:t>
      </w:r>
      <w:r w:rsidR="00F710A3">
        <w:rPr>
          <w:rFonts w:asciiTheme="majorHAnsi" w:hAnsiTheme="majorHAnsi" w:cs="Arial"/>
          <w:sz w:val="22"/>
          <w:szCs w:val="22"/>
          <w:lang w:val="en-GB"/>
        </w:rPr>
        <w:t xml:space="preserve"> </w:t>
      </w:r>
      <w:r w:rsidR="00D45C1E" w:rsidRPr="00D45C1E">
        <w:rPr>
          <w:rFonts w:asciiTheme="majorHAnsi" w:hAnsiTheme="majorHAnsi" w:cs="Arial"/>
          <w:sz w:val="22"/>
          <w:szCs w:val="22"/>
          <w:lang w:val="en-GB"/>
        </w:rPr>
        <w:t>as in the case of the businessmen and women who manage them,</w:t>
      </w:r>
      <w:r w:rsidR="00CD084D" w:rsidRPr="00CD084D">
        <w:rPr>
          <w:rFonts w:asciiTheme="majorHAnsi" w:hAnsiTheme="majorHAnsi" w:cs="Arial"/>
          <w:sz w:val="22"/>
          <w:szCs w:val="22"/>
          <w:lang w:val="en-GB"/>
        </w:rPr>
        <w:t xml:space="preserve"> the limits of acceptable criticism are wider in the case of such companies</w:t>
      </w:r>
      <w:r w:rsidR="00263302">
        <w:rPr>
          <w:rFonts w:asciiTheme="majorHAnsi" w:hAnsiTheme="majorHAnsi" w:cs="Arial"/>
          <w:sz w:val="22"/>
          <w:szCs w:val="22"/>
          <w:lang w:val="en-GB"/>
        </w:rPr>
        <w:t>.</w:t>
      </w:r>
      <w:r w:rsidR="00F710A3">
        <w:rPr>
          <w:rFonts w:asciiTheme="majorHAnsi" w:hAnsiTheme="majorHAnsi" w:cs="Arial"/>
          <w:sz w:val="22"/>
          <w:szCs w:val="22"/>
          <w:lang w:val="en-GB"/>
        </w:rPr>
        <w:t>”</w:t>
      </w:r>
      <w:r w:rsidR="00F710A3">
        <w:rPr>
          <w:rStyle w:val="FootnoteReference"/>
          <w:rFonts w:asciiTheme="majorHAnsi" w:hAnsiTheme="majorHAnsi" w:cs="Arial"/>
          <w:sz w:val="22"/>
          <w:szCs w:val="22"/>
          <w:lang w:val="en-GB"/>
        </w:rPr>
        <w:footnoteReference w:id="3"/>
      </w:r>
      <w:r w:rsidR="00263302">
        <w:rPr>
          <w:rFonts w:asciiTheme="majorHAnsi" w:hAnsiTheme="majorHAnsi" w:cs="Arial"/>
          <w:sz w:val="22"/>
          <w:szCs w:val="22"/>
          <w:lang w:val="en-GB"/>
        </w:rPr>
        <w:t xml:space="preserve"> While these judgments concerned criticism in written form, in our view there is no reason to take a different approach where it concerns criticism expressed through an assembly. A statement to this effect in the General Comment would be of </w:t>
      </w:r>
      <w:r w:rsidR="009214C8">
        <w:rPr>
          <w:rFonts w:asciiTheme="majorHAnsi" w:hAnsiTheme="majorHAnsi" w:cs="Arial"/>
          <w:sz w:val="22"/>
          <w:szCs w:val="22"/>
          <w:lang w:val="en-GB"/>
        </w:rPr>
        <w:t>meaningful</w:t>
      </w:r>
      <w:r w:rsidR="00263302">
        <w:rPr>
          <w:rFonts w:asciiTheme="majorHAnsi" w:hAnsiTheme="majorHAnsi" w:cs="Arial"/>
          <w:sz w:val="22"/>
          <w:szCs w:val="22"/>
          <w:lang w:val="en-GB"/>
        </w:rPr>
        <w:t xml:space="preserve"> </w:t>
      </w:r>
      <w:r w:rsidR="009214C8">
        <w:rPr>
          <w:rFonts w:asciiTheme="majorHAnsi" w:hAnsiTheme="majorHAnsi" w:cs="Arial"/>
          <w:sz w:val="22"/>
          <w:szCs w:val="22"/>
          <w:lang w:val="en-GB"/>
        </w:rPr>
        <w:t>help</w:t>
      </w:r>
      <w:r w:rsidR="00263302">
        <w:rPr>
          <w:rFonts w:asciiTheme="majorHAnsi" w:hAnsiTheme="majorHAnsi" w:cs="Arial"/>
          <w:sz w:val="22"/>
          <w:szCs w:val="22"/>
          <w:lang w:val="en-GB"/>
        </w:rPr>
        <w:t xml:space="preserve"> to organisers of and participants in assemblies who find themselves at the receiving end of </w:t>
      </w:r>
      <w:r w:rsidR="009214C8" w:rsidRPr="00B46D91">
        <w:rPr>
          <w:rFonts w:asciiTheme="majorHAnsi" w:eastAsia="Times New Roman" w:hAnsiTheme="majorHAnsi"/>
          <w:color w:val="000000"/>
          <w:sz w:val="22"/>
          <w:szCs w:val="22"/>
          <w:lang w:val="en-GB"/>
        </w:rPr>
        <w:t>SLAPP</w:t>
      </w:r>
      <w:r w:rsidR="009214C8">
        <w:rPr>
          <w:rFonts w:asciiTheme="majorHAnsi" w:eastAsia="Times New Roman" w:hAnsiTheme="majorHAnsi"/>
          <w:color w:val="000000"/>
          <w:sz w:val="22"/>
          <w:szCs w:val="22"/>
          <w:lang w:val="en-GB"/>
        </w:rPr>
        <w:t xml:space="preserve"> suits, </w:t>
      </w:r>
      <w:r w:rsidR="009214C8">
        <w:rPr>
          <w:rFonts w:asciiTheme="majorHAnsi" w:eastAsia="Times New Roman" w:hAnsiTheme="majorHAnsi"/>
          <w:i/>
          <w:color w:val="000000"/>
          <w:sz w:val="22"/>
          <w:szCs w:val="22"/>
          <w:lang w:val="en-GB"/>
        </w:rPr>
        <w:t>i.e.</w:t>
      </w:r>
      <w:r w:rsidR="009214C8">
        <w:rPr>
          <w:rFonts w:asciiTheme="majorHAnsi" w:eastAsia="Times New Roman" w:hAnsiTheme="majorHAnsi"/>
          <w:color w:val="000000"/>
          <w:sz w:val="22"/>
          <w:szCs w:val="22"/>
          <w:lang w:val="en-GB"/>
        </w:rPr>
        <w:t xml:space="preserve">, </w:t>
      </w:r>
      <w:r w:rsidR="009214C8" w:rsidRPr="00B46D91">
        <w:rPr>
          <w:rFonts w:asciiTheme="majorHAnsi" w:eastAsia="Times New Roman" w:hAnsiTheme="majorHAnsi"/>
          <w:color w:val="000000"/>
          <w:sz w:val="22"/>
          <w:szCs w:val="22"/>
          <w:lang w:val="en-GB"/>
        </w:rPr>
        <w:t xml:space="preserve">lawsuits </w:t>
      </w:r>
      <w:r w:rsidR="00B510A5">
        <w:rPr>
          <w:rFonts w:asciiTheme="majorHAnsi" w:eastAsia="Times New Roman" w:hAnsiTheme="majorHAnsi"/>
          <w:color w:val="000000"/>
          <w:sz w:val="22"/>
          <w:szCs w:val="22"/>
          <w:lang w:val="en-GB"/>
        </w:rPr>
        <w:t>by</w:t>
      </w:r>
      <w:r w:rsidR="00861400">
        <w:rPr>
          <w:rFonts w:asciiTheme="majorHAnsi" w:eastAsia="Times New Roman" w:hAnsiTheme="majorHAnsi"/>
          <w:color w:val="000000"/>
          <w:sz w:val="22"/>
          <w:szCs w:val="22"/>
          <w:lang w:val="en-GB"/>
        </w:rPr>
        <w:t xml:space="preserve"> large corporations or</w:t>
      </w:r>
      <w:r w:rsidR="00B510A5">
        <w:rPr>
          <w:rFonts w:asciiTheme="majorHAnsi" w:eastAsia="Times New Roman" w:hAnsiTheme="majorHAnsi"/>
          <w:color w:val="000000"/>
          <w:sz w:val="22"/>
          <w:szCs w:val="22"/>
          <w:lang w:val="en-GB"/>
        </w:rPr>
        <w:t xml:space="preserve"> </w:t>
      </w:r>
      <w:r w:rsidR="0003609F">
        <w:rPr>
          <w:rFonts w:asciiTheme="majorHAnsi" w:eastAsia="Times New Roman" w:hAnsiTheme="majorHAnsi"/>
          <w:color w:val="000000"/>
          <w:sz w:val="22"/>
          <w:szCs w:val="22"/>
          <w:lang w:val="en-GB"/>
        </w:rPr>
        <w:t>powerful</w:t>
      </w:r>
      <w:r w:rsidR="00B510A5">
        <w:rPr>
          <w:rFonts w:asciiTheme="majorHAnsi" w:eastAsia="Times New Roman" w:hAnsiTheme="majorHAnsi"/>
          <w:color w:val="000000"/>
          <w:sz w:val="22"/>
          <w:szCs w:val="22"/>
          <w:lang w:val="en-GB"/>
        </w:rPr>
        <w:t xml:space="preserve"> </w:t>
      </w:r>
      <w:r w:rsidR="00861400">
        <w:rPr>
          <w:rFonts w:asciiTheme="majorHAnsi" w:eastAsia="Times New Roman" w:hAnsiTheme="majorHAnsi"/>
          <w:color w:val="000000"/>
          <w:sz w:val="22"/>
          <w:szCs w:val="22"/>
          <w:lang w:val="en-GB"/>
        </w:rPr>
        <w:t>individuals</w:t>
      </w:r>
      <w:r w:rsidR="00B510A5">
        <w:rPr>
          <w:rFonts w:asciiTheme="majorHAnsi" w:eastAsia="Times New Roman" w:hAnsiTheme="majorHAnsi"/>
          <w:color w:val="000000"/>
          <w:sz w:val="22"/>
          <w:szCs w:val="22"/>
          <w:lang w:val="en-GB"/>
        </w:rPr>
        <w:t xml:space="preserve"> </w:t>
      </w:r>
      <w:r w:rsidR="009214C8" w:rsidRPr="00B46D91">
        <w:rPr>
          <w:rFonts w:asciiTheme="majorHAnsi" w:eastAsia="Times New Roman" w:hAnsiTheme="majorHAnsi"/>
          <w:color w:val="000000"/>
          <w:sz w:val="22"/>
          <w:szCs w:val="22"/>
          <w:lang w:val="en-GB"/>
        </w:rPr>
        <w:t xml:space="preserve">designed to </w:t>
      </w:r>
      <w:r w:rsidR="009D205D">
        <w:rPr>
          <w:rFonts w:asciiTheme="majorHAnsi" w:eastAsia="Times New Roman" w:hAnsiTheme="majorHAnsi"/>
          <w:color w:val="000000"/>
          <w:sz w:val="22"/>
          <w:szCs w:val="22"/>
          <w:lang w:val="en-GB"/>
        </w:rPr>
        <w:t>silence</w:t>
      </w:r>
      <w:r w:rsidR="009214C8">
        <w:rPr>
          <w:rFonts w:asciiTheme="majorHAnsi" w:eastAsia="Times New Roman" w:hAnsiTheme="majorHAnsi"/>
          <w:color w:val="000000"/>
          <w:sz w:val="22"/>
          <w:szCs w:val="22"/>
          <w:lang w:val="en-GB"/>
        </w:rPr>
        <w:t xml:space="preserve"> critic</w:t>
      </w:r>
      <w:r w:rsidR="00B510A5">
        <w:rPr>
          <w:rFonts w:asciiTheme="majorHAnsi" w:eastAsia="Times New Roman" w:hAnsiTheme="majorHAnsi"/>
          <w:color w:val="000000"/>
          <w:sz w:val="22"/>
          <w:szCs w:val="22"/>
          <w:lang w:val="en-GB"/>
        </w:rPr>
        <w:t>s</w:t>
      </w:r>
      <w:r w:rsidR="009214C8" w:rsidRPr="00B46D91">
        <w:rPr>
          <w:rFonts w:asciiTheme="majorHAnsi" w:eastAsia="Times New Roman" w:hAnsiTheme="majorHAnsi"/>
          <w:color w:val="000000"/>
          <w:sz w:val="22"/>
          <w:szCs w:val="22"/>
          <w:lang w:val="en-GB"/>
        </w:rPr>
        <w:t xml:space="preserve"> by intimidating</w:t>
      </w:r>
      <w:r w:rsidR="00B510A5">
        <w:rPr>
          <w:rFonts w:asciiTheme="majorHAnsi" w:eastAsia="Times New Roman" w:hAnsiTheme="majorHAnsi"/>
          <w:color w:val="000000"/>
          <w:sz w:val="22"/>
          <w:szCs w:val="22"/>
          <w:lang w:val="en-GB"/>
        </w:rPr>
        <w:t xml:space="preserve"> and</w:t>
      </w:r>
      <w:r w:rsidR="009214C8" w:rsidRPr="00B46D91">
        <w:rPr>
          <w:rFonts w:asciiTheme="majorHAnsi" w:eastAsia="Times New Roman" w:hAnsiTheme="majorHAnsi"/>
          <w:color w:val="000000"/>
          <w:sz w:val="22"/>
          <w:szCs w:val="22"/>
          <w:lang w:val="en-GB"/>
        </w:rPr>
        <w:t xml:space="preserve"> harassing</w:t>
      </w:r>
      <w:r w:rsidR="00B510A5">
        <w:rPr>
          <w:rFonts w:asciiTheme="majorHAnsi" w:eastAsia="Times New Roman" w:hAnsiTheme="majorHAnsi"/>
          <w:color w:val="000000"/>
          <w:sz w:val="22"/>
          <w:szCs w:val="22"/>
          <w:lang w:val="en-GB"/>
        </w:rPr>
        <w:t xml:space="preserve"> them,</w:t>
      </w:r>
      <w:r w:rsidR="009214C8" w:rsidRPr="00B46D91">
        <w:rPr>
          <w:rFonts w:asciiTheme="majorHAnsi" w:eastAsia="Times New Roman" w:hAnsiTheme="majorHAnsi"/>
          <w:color w:val="000000"/>
          <w:sz w:val="22"/>
          <w:szCs w:val="22"/>
          <w:lang w:val="en-GB"/>
        </w:rPr>
        <w:t xml:space="preserve"> and draining the</w:t>
      </w:r>
      <w:r w:rsidR="00B510A5">
        <w:rPr>
          <w:rFonts w:asciiTheme="majorHAnsi" w:eastAsia="Times New Roman" w:hAnsiTheme="majorHAnsi"/>
          <w:color w:val="000000"/>
          <w:sz w:val="22"/>
          <w:szCs w:val="22"/>
          <w:lang w:val="en-GB"/>
        </w:rPr>
        <w:t>ir</w:t>
      </w:r>
      <w:r w:rsidR="009214C8" w:rsidRPr="00B46D91">
        <w:rPr>
          <w:rFonts w:asciiTheme="majorHAnsi" w:eastAsia="Times New Roman" w:hAnsiTheme="majorHAnsi"/>
          <w:color w:val="000000"/>
          <w:sz w:val="22"/>
          <w:szCs w:val="22"/>
          <w:lang w:val="en-GB"/>
        </w:rPr>
        <w:t xml:space="preserve"> resources</w:t>
      </w:r>
      <w:r w:rsidR="00B510A5">
        <w:rPr>
          <w:rFonts w:asciiTheme="majorHAnsi" w:eastAsia="Times New Roman" w:hAnsiTheme="majorHAnsi"/>
          <w:color w:val="000000"/>
          <w:sz w:val="22"/>
          <w:szCs w:val="22"/>
          <w:lang w:val="en-GB"/>
        </w:rPr>
        <w:t>.</w:t>
      </w:r>
    </w:p>
    <w:p w14:paraId="638C4E98" w14:textId="27118A43" w:rsidR="0057338C" w:rsidRPr="00B46D91" w:rsidRDefault="00D623C5" w:rsidP="00872567">
      <w:pPr>
        <w:pStyle w:val="NormalWeb"/>
        <w:rPr>
          <w:rFonts w:asciiTheme="majorHAnsi" w:eastAsia="Times New Roman" w:hAnsiTheme="majorHAnsi"/>
          <w:sz w:val="22"/>
          <w:szCs w:val="22"/>
          <w:lang w:val="en-GB"/>
        </w:rPr>
      </w:pPr>
      <w:r>
        <w:rPr>
          <w:rFonts w:asciiTheme="majorHAnsi" w:eastAsia="Times New Roman" w:hAnsiTheme="majorHAnsi"/>
          <w:sz w:val="22"/>
          <w:szCs w:val="22"/>
          <w:lang w:val="en-GB"/>
        </w:rPr>
        <w:t xml:space="preserve">As the former UN </w:t>
      </w:r>
      <w:r w:rsidRPr="00D623C5">
        <w:rPr>
          <w:rFonts w:asciiTheme="majorHAnsi" w:eastAsia="Times New Roman" w:hAnsiTheme="majorHAnsi"/>
          <w:sz w:val="22"/>
          <w:szCs w:val="22"/>
          <w:lang w:val="en-GB"/>
        </w:rPr>
        <w:t>Special Rapporteur on the rights to freedom of peaceful assembly and of association</w:t>
      </w:r>
      <w:r>
        <w:rPr>
          <w:rFonts w:asciiTheme="majorHAnsi" w:eastAsia="Times New Roman" w:hAnsiTheme="majorHAnsi"/>
          <w:sz w:val="22"/>
          <w:szCs w:val="22"/>
          <w:lang w:val="en-GB"/>
        </w:rPr>
        <w:t xml:space="preserve">, </w:t>
      </w:r>
      <w:r w:rsidR="0057338C" w:rsidRPr="00B46D91">
        <w:rPr>
          <w:rFonts w:asciiTheme="majorHAnsi" w:eastAsia="Times New Roman" w:hAnsiTheme="majorHAnsi"/>
          <w:sz w:val="22"/>
          <w:szCs w:val="22"/>
          <w:lang w:val="en-GB"/>
        </w:rPr>
        <w:t xml:space="preserve">Ms. Annalisa </w:t>
      </w:r>
      <w:proofErr w:type="spellStart"/>
      <w:r w:rsidR="0057338C" w:rsidRPr="00B46D91">
        <w:rPr>
          <w:rFonts w:asciiTheme="majorHAnsi" w:eastAsia="Times New Roman" w:hAnsiTheme="majorHAnsi"/>
          <w:sz w:val="22"/>
          <w:szCs w:val="22"/>
          <w:lang w:val="en-GB"/>
        </w:rPr>
        <w:t>Ciampi</w:t>
      </w:r>
      <w:proofErr w:type="spellEnd"/>
      <w:r>
        <w:rPr>
          <w:rFonts w:asciiTheme="majorHAnsi" w:eastAsia="Times New Roman" w:hAnsiTheme="majorHAnsi"/>
          <w:sz w:val="22"/>
          <w:szCs w:val="22"/>
          <w:lang w:val="en-GB"/>
        </w:rPr>
        <w:t>, has pointed out, effectively deterring such SLAPP</w:t>
      </w:r>
      <w:r w:rsidR="00807A04">
        <w:rPr>
          <w:rFonts w:asciiTheme="majorHAnsi" w:eastAsia="Times New Roman" w:hAnsiTheme="majorHAnsi"/>
          <w:sz w:val="22"/>
          <w:szCs w:val="22"/>
          <w:lang w:val="en-GB"/>
        </w:rPr>
        <w:t xml:space="preserve">s </w:t>
      </w:r>
      <w:r>
        <w:rPr>
          <w:rFonts w:asciiTheme="majorHAnsi" w:eastAsia="Times New Roman" w:hAnsiTheme="majorHAnsi"/>
          <w:sz w:val="22"/>
          <w:szCs w:val="22"/>
          <w:lang w:val="en-GB"/>
        </w:rPr>
        <w:t xml:space="preserve">also requires procedural </w:t>
      </w:r>
      <w:r w:rsidR="00353583">
        <w:rPr>
          <w:rFonts w:asciiTheme="majorHAnsi" w:eastAsia="Times New Roman" w:hAnsiTheme="majorHAnsi"/>
          <w:sz w:val="22"/>
          <w:szCs w:val="22"/>
          <w:lang w:val="en-GB"/>
        </w:rPr>
        <w:t>guarantees</w:t>
      </w:r>
      <w:r w:rsidR="0057338C" w:rsidRPr="00B46D91">
        <w:rPr>
          <w:rFonts w:asciiTheme="majorHAnsi" w:eastAsia="Times New Roman" w:hAnsiTheme="majorHAnsi"/>
          <w:sz w:val="22"/>
          <w:szCs w:val="22"/>
          <w:lang w:val="en-GB"/>
        </w:rPr>
        <w:t>:</w:t>
      </w:r>
    </w:p>
    <w:p w14:paraId="18AFF70F" w14:textId="77777777" w:rsidR="0057338C" w:rsidRPr="00B46D91" w:rsidRDefault="0057338C" w:rsidP="0057338C">
      <w:pPr>
        <w:pStyle w:val="ListParagraph"/>
        <w:spacing w:after="0" w:line="240" w:lineRule="auto"/>
        <w:rPr>
          <w:rFonts w:asciiTheme="majorHAnsi" w:hAnsiTheme="majorHAnsi" w:cs="Times New Roman"/>
          <w:bCs/>
          <w:lang w:val="en-GB"/>
        </w:rPr>
      </w:pPr>
      <w:r w:rsidRPr="00B46D91">
        <w:rPr>
          <w:rFonts w:asciiTheme="majorHAnsi" w:hAnsiTheme="majorHAnsi" w:cs="Times New Roman"/>
          <w:bCs/>
          <w:lang w:val="en-GB"/>
        </w:rPr>
        <w:t xml:space="preserve">“States should protect and facilitate the rights to freedom of expression, assembly and association to ensure that these rights are enjoyed by everyone by, </w:t>
      </w:r>
      <w:r w:rsidRPr="00B46D91">
        <w:rPr>
          <w:rFonts w:asciiTheme="majorHAnsi" w:hAnsiTheme="majorHAnsi" w:cs="Times New Roman"/>
          <w:bCs/>
          <w:i/>
          <w:iCs/>
          <w:lang w:val="en-GB"/>
        </w:rPr>
        <w:t>inter alia</w:t>
      </w:r>
      <w:r w:rsidRPr="00B46D91">
        <w:rPr>
          <w:rFonts w:asciiTheme="majorHAnsi" w:hAnsiTheme="majorHAnsi" w:cs="Times New Roman"/>
          <w:bCs/>
          <w:lang w:val="en-GB"/>
        </w:rPr>
        <w:t xml:space="preserve">, </w:t>
      </w:r>
      <w:r w:rsidRPr="00B46D91">
        <w:rPr>
          <w:rFonts w:asciiTheme="majorHAnsi" w:hAnsiTheme="majorHAnsi" w:cs="Times New Roman"/>
          <w:bCs/>
          <w:u w:val="single"/>
          <w:lang w:val="en-GB"/>
        </w:rPr>
        <w:t>enacting anti-SLAPPs legislation, allowing an early dismissal (with an award of costs) of such suits and the use of measures to penalize abuse.”</w:t>
      </w:r>
      <w:r w:rsidRPr="00B46D91">
        <w:rPr>
          <w:rStyle w:val="FootnoteReference"/>
          <w:rFonts w:asciiTheme="majorHAnsi" w:hAnsiTheme="majorHAnsi" w:cs="Times New Roman"/>
          <w:bCs/>
          <w:lang w:val="en-GB"/>
        </w:rPr>
        <w:footnoteReference w:id="4"/>
      </w:r>
      <w:r w:rsidRPr="00B46D91">
        <w:rPr>
          <w:rFonts w:asciiTheme="majorHAnsi" w:hAnsiTheme="majorHAnsi" w:cs="Times New Roman"/>
          <w:bCs/>
          <w:lang w:val="en-GB"/>
        </w:rPr>
        <w:t xml:space="preserve"> (emphasis added)</w:t>
      </w:r>
    </w:p>
    <w:p w14:paraId="31A5CC1F" w14:textId="1F122FCA" w:rsidR="0057338C" w:rsidRPr="00B46D91" w:rsidRDefault="0057338C" w:rsidP="0057338C">
      <w:pPr>
        <w:rPr>
          <w:rFonts w:asciiTheme="majorHAnsi" w:eastAsia="Times New Roman" w:hAnsiTheme="majorHAnsi" w:cs="Times New Roman"/>
          <w:bCs/>
          <w:sz w:val="22"/>
          <w:szCs w:val="22"/>
          <w:lang w:val="en-GB"/>
        </w:rPr>
      </w:pPr>
      <w:r w:rsidRPr="00B46D91">
        <w:rPr>
          <w:rFonts w:asciiTheme="majorHAnsi" w:eastAsia="Times New Roman" w:hAnsiTheme="majorHAnsi" w:cs="Times New Roman"/>
          <w:sz w:val="22"/>
          <w:szCs w:val="22"/>
          <w:lang w:val="en-GB"/>
        </w:rPr>
        <w:lastRenderedPageBreak/>
        <w:br/>
      </w:r>
      <w:r w:rsidR="00807A04">
        <w:rPr>
          <w:rFonts w:asciiTheme="majorHAnsi" w:eastAsia="Times New Roman" w:hAnsiTheme="majorHAnsi" w:cs="Times New Roman"/>
          <w:sz w:val="22"/>
          <w:szCs w:val="22"/>
          <w:lang w:val="en-GB"/>
        </w:rPr>
        <w:t xml:space="preserve">We respectfully submit that the Committee should consider recognising in the General Comment that Article 21 ICCPR entails a duty to enact such safeguards. </w:t>
      </w:r>
    </w:p>
    <w:p w14:paraId="5B66D68E" w14:textId="6917E2EA" w:rsidR="0057338C" w:rsidRDefault="0057338C" w:rsidP="006D6484">
      <w:pPr>
        <w:ind w:right="362"/>
        <w:rPr>
          <w:rFonts w:asciiTheme="majorHAnsi" w:eastAsia="Times New Roman" w:hAnsiTheme="majorHAnsi" w:cs="Times New Roman"/>
          <w:sz w:val="22"/>
          <w:szCs w:val="22"/>
          <w:lang w:val="en-GB"/>
        </w:rPr>
      </w:pPr>
    </w:p>
    <w:p w14:paraId="54690A3E" w14:textId="3D269481" w:rsidR="006D6484" w:rsidRPr="001939D1" w:rsidRDefault="001939D1" w:rsidP="006D6484">
      <w:pPr>
        <w:ind w:right="362"/>
        <w:rPr>
          <w:rFonts w:asciiTheme="majorHAnsi" w:eastAsia="Times New Roman" w:hAnsiTheme="majorHAnsi" w:cs="Times New Roman"/>
          <w:b/>
          <w:sz w:val="22"/>
          <w:szCs w:val="22"/>
          <w:lang w:val="en-GB"/>
        </w:rPr>
      </w:pPr>
      <w:r>
        <w:rPr>
          <w:rFonts w:asciiTheme="majorHAnsi" w:eastAsia="Times New Roman" w:hAnsiTheme="majorHAnsi" w:cs="Times New Roman"/>
          <w:b/>
          <w:sz w:val="22"/>
          <w:szCs w:val="22"/>
          <w:u w:val="single"/>
          <w:lang w:val="en-GB"/>
        </w:rPr>
        <w:t>Criminal and administrative proceedings</w:t>
      </w:r>
    </w:p>
    <w:p w14:paraId="31784E30" w14:textId="6BFFB1AA" w:rsidR="003E7F5F" w:rsidRDefault="001939D1" w:rsidP="003E7F5F">
      <w:pPr>
        <w:pStyle w:val="NormalWeb"/>
        <w:rPr>
          <w:rFonts w:asciiTheme="majorHAnsi" w:hAnsiTheme="majorHAnsi" w:cs="Arial"/>
          <w:sz w:val="22"/>
          <w:szCs w:val="22"/>
          <w:lang w:val="en-GB"/>
        </w:rPr>
      </w:pPr>
      <w:r>
        <w:rPr>
          <w:rFonts w:asciiTheme="majorHAnsi" w:hAnsiTheme="majorHAnsi" w:cs="Arial"/>
          <w:sz w:val="22"/>
          <w:szCs w:val="22"/>
          <w:lang w:val="en-GB"/>
        </w:rPr>
        <w:t>Paragraph 76 of the draft states that “</w:t>
      </w:r>
      <w:r w:rsidRPr="001939D1">
        <w:rPr>
          <w:rFonts w:asciiTheme="majorHAnsi" w:hAnsiTheme="majorHAnsi" w:cs="Arial"/>
          <w:sz w:val="22"/>
          <w:szCs w:val="22"/>
          <w:lang w:val="en-GB"/>
        </w:rPr>
        <w:t>criminal or administrative</w:t>
      </w:r>
      <w:r w:rsidR="003F2F8D">
        <w:rPr>
          <w:rFonts w:asciiTheme="majorHAnsi" w:hAnsiTheme="majorHAnsi" w:cs="Arial"/>
          <w:sz w:val="22"/>
          <w:szCs w:val="22"/>
          <w:lang w:val="en-GB"/>
        </w:rPr>
        <w:t xml:space="preserve"> sanctions</w:t>
      </w:r>
      <w:r w:rsidRPr="001939D1">
        <w:rPr>
          <w:rFonts w:asciiTheme="majorHAnsi" w:hAnsiTheme="majorHAnsi" w:cs="Arial"/>
          <w:sz w:val="22"/>
          <w:szCs w:val="22"/>
          <w:lang w:val="en-GB"/>
        </w:rPr>
        <w:t xml:space="preserve"> </w:t>
      </w:r>
      <w:r>
        <w:rPr>
          <w:rFonts w:asciiTheme="majorHAnsi" w:hAnsiTheme="majorHAnsi" w:cs="Arial"/>
          <w:sz w:val="22"/>
          <w:szCs w:val="22"/>
          <w:lang w:val="en-GB"/>
        </w:rPr>
        <w:t>…</w:t>
      </w:r>
      <w:r w:rsidRPr="001939D1">
        <w:rPr>
          <w:rFonts w:asciiTheme="majorHAnsi" w:hAnsiTheme="majorHAnsi" w:cs="Arial"/>
          <w:sz w:val="22"/>
          <w:szCs w:val="22"/>
          <w:lang w:val="en-GB"/>
        </w:rPr>
        <w:t xml:space="preserve"> against participants in a peaceful assembly</w:t>
      </w:r>
      <w:r>
        <w:rPr>
          <w:rFonts w:asciiTheme="majorHAnsi" w:hAnsiTheme="majorHAnsi" w:cs="Arial"/>
          <w:sz w:val="22"/>
          <w:szCs w:val="22"/>
          <w:lang w:val="en-GB"/>
        </w:rPr>
        <w:t xml:space="preserve"> …</w:t>
      </w:r>
      <w:r w:rsidRPr="001939D1">
        <w:rPr>
          <w:rFonts w:asciiTheme="majorHAnsi" w:hAnsiTheme="majorHAnsi" w:cs="Arial"/>
          <w:sz w:val="22"/>
          <w:szCs w:val="22"/>
          <w:lang w:val="en-GB"/>
        </w:rPr>
        <w:t xml:space="preserve"> must be proportionate and cannot apply where their conduct is protected by the right.</w:t>
      </w:r>
      <w:r>
        <w:rPr>
          <w:rFonts w:asciiTheme="majorHAnsi" w:hAnsiTheme="majorHAnsi" w:cs="Arial"/>
          <w:sz w:val="22"/>
          <w:szCs w:val="22"/>
          <w:lang w:val="en-GB"/>
        </w:rPr>
        <w:t xml:space="preserve">” We agree with this statement, but consider that it should be widened to encompass the full </w:t>
      </w:r>
      <w:r w:rsidR="00365268">
        <w:rPr>
          <w:rFonts w:asciiTheme="majorHAnsi" w:hAnsiTheme="majorHAnsi" w:cs="Arial"/>
          <w:sz w:val="22"/>
          <w:szCs w:val="22"/>
          <w:lang w:val="en-GB"/>
        </w:rPr>
        <w:t>investigative</w:t>
      </w:r>
      <w:r>
        <w:rPr>
          <w:rFonts w:asciiTheme="majorHAnsi" w:hAnsiTheme="majorHAnsi" w:cs="Arial"/>
          <w:sz w:val="22"/>
          <w:szCs w:val="22"/>
          <w:lang w:val="en-GB"/>
        </w:rPr>
        <w:t xml:space="preserve"> process</w:t>
      </w:r>
      <w:r w:rsidR="003F2F8D">
        <w:rPr>
          <w:rFonts w:asciiTheme="majorHAnsi" w:hAnsiTheme="majorHAnsi" w:cs="Arial"/>
          <w:sz w:val="22"/>
          <w:szCs w:val="22"/>
          <w:lang w:val="en-GB"/>
        </w:rPr>
        <w:t>, not only the sentencing phase.</w:t>
      </w:r>
      <w:r w:rsidR="003F2F8D" w:rsidRPr="003F2F8D">
        <w:rPr>
          <w:rFonts w:asciiTheme="majorHAnsi" w:hAnsiTheme="majorHAnsi" w:cs="Arial"/>
          <w:sz w:val="22"/>
          <w:szCs w:val="22"/>
          <w:lang w:val="en-GB"/>
        </w:rPr>
        <w:t xml:space="preserve"> </w:t>
      </w:r>
      <w:r w:rsidR="003F2F8D" w:rsidRPr="00B46D91">
        <w:rPr>
          <w:rFonts w:asciiTheme="majorHAnsi" w:hAnsiTheme="majorHAnsi" w:cs="Arial"/>
          <w:sz w:val="22"/>
          <w:szCs w:val="22"/>
          <w:lang w:val="en-GB"/>
        </w:rPr>
        <w:t xml:space="preserve">There is a </w:t>
      </w:r>
      <w:r w:rsidR="003F2F8D">
        <w:rPr>
          <w:rFonts w:asciiTheme="majorHAnsi" w:hAnsiTheme="majorHAnsi" w:cs="Arial"/>
          <w:sz w:val="22"/>
          <w:szCs w:val="22"/>
          <w:lang w:val="en-GB"/>
        </w:rPr>
        <w:t xml:space="preserve">lamentable </w:t>
      </w:r>
      <w:r w:rsidR="003F2F8D" w:rsidRPr="00B46D91">
        <w:rPr>
          <w:rFonts w:asciiTheme="majorHAnsi" w:hAnsiTheme="majorHAnsi" w:cs="Arial"/>
          <w:sz w:val="22"/>
          <w:szCs w:val="22"/>
          <w:lang w:val="en-GB"/>
        </w:rPr>
        <w:t xml:space="preserve">practice in many jurisdictions of bringing </w:t>
      </w:r>
      <w:r w:rsidR="003F2F8D">
        <w:rPr>
          <w:rFonts w:asciiTheme="majorHAnsi" w:hAnsiTheme="majorHAnsi" w:cs="Arial"/>
          <w:sz w:val="22"/>
          <w:szCs w:val="22"/>
          <w:lang w:val="en-GB"/>
        </w:rPr>
        <w:t>unreasonable</w:t>
      </w:r>
      <w:r w:rsidR="003F2F8D" w:rsidRPr="00B46D91">
        <w:rPr>
          <w:rFonts w:asciiTheme="majorHAnsi" w:hAnsiTheme="majorHAnsi" w:cs="Arial"/>
          <w:sz w:val="22"/>
          <w:szCs w:val="22"/>
          <w:lang w:val="en-GB"/>
        </w:rPr>
        <w:t xml:space="preserve"> charges in response to assemblies</w:t>
      </w:r>
      <w:r w:rsidR="00647F37">
        <w:rPr>
          <w:rFonts w:asciiTheme="majorHAnsi" w:hAnsiTheme="majorHAnsi" w:cs="Arial"/>
          <w:sz w:val="22"/>
          <w:szCs w:val="22"/>
          <w:lang w:val="en-GB"/>
        </w:rPr>
        <w:t xml:space="preserve"> (such as sedition, terrorism or hooliganism)</w:t>
      </w:r>
      <w:r w:rsidR="00340904">
        <w:rPr>
          <w:rFonts w:asciiTheme="majorHAnsi" w:hAnsiTheme="majorHAnsi" w:cs="Arial"/>
          <w:sz w:val="22"/>
          <w:szCs w:val="22"/>
          <w:lang w:val="en-GB"/>
        </w:rPr>
        <w:t>,</w:t>
      </w:r>
      <w:r w:rsidR="003F2F8D" w:rsidRPr="00B46D91">
        <w:rPr>
          <w:rFonts w:asciiTheme="majorHAnsi" w:hAnsiTheme="majorHAnsi" w:cs="Arial"/>
          <w:sz w:val="22"/>
          <w:szCs w:val="22"/>
          <w:lang w:val="en-GB"/>
        </w:rPr>
        <w:t xml:space="preserve"> and holding suspects in prolonged pre-trial detention. A</w:t>
      </w:r>
      <w:r w:rsidR="00363A2F">
        <w:rPr>
          <w:rFonts w:asciiTheme="majorHAnsi" w:hAnsiTheme="majorHAnsi" w:cs="Arial"/>
          <w:sz w:val="22"/>
          <w:szCs w:val="22"/>
          <w:lang w:val="en-GB"/>
        </w:rPr>
        <w:t xml:space="preserve"> helpful</w:t>
      </w:r>
      <w:r w:rsidR="003F2F8D" w:rsidRPr="00B46D91">
        <w:rPr>
          <w:rFonts w:asciiTheme="majorHAnsi" w:hAnsiTheme="majorHAnsi" w:cs="Arial"/>
          <w:sz w:val="22"/>
          <w:szCs w:val="22"/>
          <w:lang w:val="en-GB"/>
        </w:rPr>
        <w:t xml:space="preserve"> overview of such </w:t>
      </w:r>
      <w:r w:rsidR="00A50235">
        <w:rPr>
          <w:rFonts w:asciiTheme="majorHAnsi" w:hAnsiTheme="majorHAnsi" w:cs="Arial"/>
          <w:sz w:val="22"/>
          <w:szCs w:val="22"/>
          <w:lang w:val="en-GB"/>
        </w:rPr>
        <w:t>cases</w:t>
      </w:r>
      <w:r w:rsidR="003F2F8D" w:rsidRPr="00B46D91">
        <w:rPr>
          <w:rFonts w:asciiTheme="majorHAnsi" w:hAnsiTheme="majorHAnsi" w:cs="Arial"/>
          <w:sz w:val="22"/>
          <w:szCs w:val="22"/>
          <w:lang w:val="en-GB"/>
        </w:rPr>
        <w:t xml:space="preserve"> in the Americas is presented in the IACHR’s 2015 Report on the Criminalization of the Work of Human Rights Defenders.</w:t>
      </w:r>
      <w:r w:rsidR="003F2F8D" w:rsidRPr="00B46D91">
        <w:rPr>
          <w:rStyle w:val="FootnoteReference"/>
          <w:rFonts w:asciiTheme="majorHAnsi" w:hAnsiTheme="majorHAnsi" w:cs="Arial"/>
          <w:sz w:val="22"/>
          <w:szCs w:val="22"/>
          <w:lang w:val="en-GB"/>
        </w:rPr>
        <w:footnoteReference w:id="5"/>
      </w:r>
      <w:r w:rsidR="003F2F8D">
        <w:rPr>
          <w:rFonts w:asciiTheme="majorHAnsi" w:hAnsiTheme="majorHAnsi" w:cs="Arial"/>
          <w:sz w:val="22"/>
          <w:szCs w:val="22"/>
          <w:lang w:val="en-GB"/>
        </w:rPr>
        <w:t xml:space="preserve"> Often, the individual is ultimately not convicted, or convicted on a lesser charge</w:t>
      </w:r>
      <w:r w:rsidR="00F76C94">
        <w:rPr>
          <w:rFonts w:asciiTheme="majorHAnsi" w:hAnsiTheme="majorHAnsi" w:cs="Arial"/>
          <w:sz w:val="22"/>
          <w:szCs w:val="22"/>
          <w:lang w:val="en-GB"/>
        </w:rPr>
        <w:t xml:space="preserve"> and given a minor sentence</w:t>
      </w:r>
      <w:r w:rsidR="003F2F8D">
        <w:rPr>
          <w:rFonts w:asciiTheme="majorHAnsi" w:hAnsiTheme="majorHAnsi" w:cs="Arial"/>
          <w:sz w:val="22"/>
          <w:szCs w:val="22"/>
          <w:lang w:val="en-GB"/>
        </w:rPr>
        <w:t>, creating a</w:t>
      </w:r>
      <w:r w:rsidR="00340904">
        <w:rPr>
          <w:rFonts w:asciiTheme="majorHAnsi" w:hAnsiTheme="majorHAnsi" w:cs="Arial"/>
          <w:sz w:val="22"/>
          <w:szCs w:val="22"/>
          <w:lang w:val="en-GB"/>
        </w:rPr>
        <w:t xml:space="preserve"> </w:t>
      </w:r>
      <w:r w:rsidR="003F2F8D">
        <w:rPr>
          <w:rFonts w:asciiTheme="majorHAnsi" w:hAnsiTheme="majorHAnsi" w:cs="Arial"/>
          <w:sz w:val="22"/>
          <w:szCs w:val="22"/>
          <w:lang w:val="en-GB"/>
        </w:rPr>
        <w:t>façade of proportionalit</w:t>
      </w:r>
      <w:r w:rsidR="00340904">
        <w:rPr>
          <w:rFonts w:asciiTheme="majorHAnsi" w:hAnsiTheme="majorHAnsi" w:cs="Arial"/>
          <w:sz w:val="22"/>
          <w:szCs w:val="22"/>
          <w:lang w:val="en-GB"/>
        </w:rPr>
        <w:t>y</w:t>
      </w:r>
      <w:r w:rsidR="00891CAB">
        <w:rPr>
          <w:rFonts w:asciiTheme="majorHAnsi" w:hAnsiTheme="majorHAnsi" w:cs="Arial"/>
          <w:sz w:val="22"/>
          <w:szCs w:val="22"/>
          <w:lang w:val="en-GB"/>
        </w:rPr>
        <w:t>, despite the very real chilling effect</w:t>
      </w:r>
      <w:r w:rsidR="00390147">
        <w:rPr>
          <w:rFonts w:asciiTheme="majorHAnsi" w:hAnsiTheme="majorHAnsi" w:cs="Arial"/>
          <w:sz w:val="22"/>
          <w:szCs w:val="22"/>
          <w:lang w:val="en-GB"/>
        </w:rPr>
        <w:t xml:space="preserve"> exerted.</w:t>
      </w:r>
    </w:p>
    <w:p w14:paraId="6C967627" w14:textId="365FBB48" w:rsidR="001939D1" w:rsidRDefault="003E7F5F" w:rsidP="00553DD8">
      <w:pPr>
        <w:pStyle w:val="NormalWeb"/>
        <w:rPr>
          <w:rFonts w:asciiTheme="majorHAnsi" w:hAnsiTheme="majorHAnsi" w:cs="Arial"/>
          <w:sz w:val="22"/>
          <w:szCs w:val="22"/>
          <w:lang w:val="en-GB"/>
        </w:rPr>
      </w:pPr>
      <w:r w:rsidRPr="00B46D91">
        <w:rPr>
          <w:rFonts w:asciiTheme="majorHAnsi" w:hAnsiTheme="majorHAnsi" w:cs="Arial"/>
          <w:sz w:val="22"/>
          <w:szCs w:val="22"/>
          <w:lang w:val="en-GB"/>
        </w:rPr>
        <w:t xml:space="preserve">It would therefore be </w:t>
      </w:r>
      <w:r>
        <w:rPr>
          <w:rFonts w:asciiTheme="majorHAnsi" w:hAnsiTheme="majorHAnsi" w:cs="Arial"/>
          <w:sz w:val="22"/>
          <w:szCs w:val="22"/>
          <w:lang w:val="en-GB"/>
        </w:rPr>
        <w:t xml:space="preserve">very </w:t>
      </w:r>
      <w:r w:rsidRPr="00B46D91">
        <w:rPr>
          <w:rFonts w:asciiTheme="majorHAnsi" w:hAnsiTheme="majorHAnsi" w:cs="Arial"/>
          <w:sz w:val="22"/>
          <w:szCs w:val="22"/>
          <w:lang w:val="en-GB"/>
        </w:rPr>
        <w:t xml:space="preserve">useful if the General Comment clarified that the </w:t>
      </w:r>
      <w:r>
        <w:rPr>
          <w:rFonts w:asciiTheme="majorHAnsi" w:hAnsiTheme="majorHAnsi" w:cs="Arial"/>
          <w:sz w:val="22"/>
          <w:szCs w:val="22"/>
          <w:lang w:val="en-GB"/>
        </w:rPr>
        <w:t>requirement</w:t>
      </w:r>
      <w:r w:rsidR="00C80452">
        <w:rPr>
          <w:rFonts w:asciiTheme="majorHAnsi" w:hAnsiTheme="majorHAnsi" w:cs="Arial"/>
          <w:sz w:val="22"/>
          <w:szCs w:val="22"/>
          <w:lang w:val="en-GB"/>
        </w:rPr>
        <w:t>s</w:t>
      </w:r>
      <w:r>
        <w:rPr>
          <w:rFonts w:asciiTheme="majorHAnsi" w:hAnsiTheme="majorHAnsi" w:cs="Arial"/>
          <w:sz w:val="22"/>
          <w:szCs w:val="22"/>
          <w:lang w:val="en-GB"/>
        </w:rPr>
        <w:t xml:space="preserve"> of </w:t>
      </w:r>
      <w:r w:rsidR="00C80452">
        <w:rPr>
          <w:rFonts w:asciiTheme="majorHAnsi" w:hAnsiTheme="majorHAnsi" w:cs="Arial"/>
          <w:sz w:val="22"/>
          <w:szCs w:val="22"/>
          <w:lang w:val="en-GB"/>
        </w:rPr>
        <w:t xml:space="preserve">necessity and </w:t>
      </w:r>
      <w:r>
        <w:rPr>
          <w:rFonts w:asciiTheme="majorHAnsi" w:hAnsiTheme="majorHAnsi" w:cs="Arial"/>
          <w:sz w:val="22"/>
          <w:szCs w:val="22"/>
          <w:lang w:val="en-GB"/>
        </w:rPr>
        <w:t xml:space="preserve">proportionality </w:t>
      </w:r>
      <w:r w:rsidRPr="00B46D91">
        <w:rPr>
          <w:rFonts w:asciiTheme="majorHAnsi" w:hAnsiTheme="majorHAnsi" w:cs="Arial"/>
          <w:sz w:val="22"/>
          <w:szCs w:val="22"/>
          <w:lang w:val="en-GB"/>
        </w:rPr>
        <w:t>appl</w:t>
      </w:r>
      <w:r w:rsidR="00C80452">
        <w:rPr>
          <w:rFonts w:asciiTheme="majorHAnsi" w:hAnsiTheme="majorHAnsi" w:cs="Arial"/>
          <w:sz w:val="22"/>
          <w:szCs w:val="22"/>
          <w:lang w:val="en-GB"/>
        </w:rPr>
        <w:t>y</w:t>
      </w:r>
      <w:r w:rsidRPr="00B46D91">
        <w:rPr>
          <w:rFonts w:asciiTheme="majorHAnsi" w:hAnsiTheme="majorHAnsi" w:cs="Arial"/>
          <w:sz w:val="22"/>
          <w:szCs w:val="22"/>
          <w:lang w:val="en-GB"/>
        </w:rPr>
        <w:t xml:space="preserve"> </w:t>
      </w:r>
      <w:r>
        <w:rPr>
          <w:rFonts w:asciiTheme="majorHAnsi" w:hAnsiTheme="majorHAnsi" w:cs="Arial"/>
          <w:sz w:val="22"/>
          <w:szCs w:val="22"/>
          <w:lang w:val="en-GB"/>
        </w:rPr>
        <w:t>to all stages of the</w:t>
      </w:r>
      <w:r w:rsidRPr="00B46D91">
        <w:rPr>
          <w:rFonts w:asciiTheme="majorHAnsi" w:hAnsiTheme="majorHAnsi" w:cs="Arial"/>
          <w:sz w:val="22"/>
          <w:szCs w:val="22"/>
          <w:lang w:val="en-GB"/>
        </w:rPr>
        <w:t xml:space="preserve"> pre-trial process,</w:t>
      </w:r>
      <w:r w:rsidRPr="00B46D91">
        <w:rPr>
          <w:rFonts w:asciiTheme="majorHAnsi" w:hAnsiTheme="majorHAnsi" w:cs="Arial"/>
          <w:i/>
          <w:sz w:val="22"/>
          <w:szCs w:val="22"/>
          <w:lang w:val="en-GB"/>
        </w:rPr>
        <w:t xml:space="preserve"> </w:t>
      </w:r>
      <w:r w:rsidRPr="00B46D91">
        <w:rPr>
          <w:rFonts w:asciiTheme="majorHAnsi" w:hAnsiTheme="majorHAnsi" w:cs="Arial"/>
          <w:sz w:val="22"/>
          <w:szCs w:val="22"/>
          <w:lang w:val="en-GB"/>
        </w:rPr>
        <w:t>in</w:t>
      </w:r>
      <w:r>
        <w:rPr>
          <w:rFonts w:asciiTheme="majorHAnsi" w:hAnsiTheme="majorHAnsi" w:cs="Arial"/>
          <w:sz w:val="22"/>
          <w:szCs w:val="22"/>
          <w:lang w:val="en-GB"/>
        </w:rPr>
        <w:t>cluding</w:t>
      </w:r>
      <w:r w:rsidRPr="00B46D91">
        <w:rPr>
          <w:rFonts w:asciiTheme="majorHAnsi" w:hAnsiTheme="majorHAnsi" w:cs="Arial"/>
          <w:sz w:val="22"/>
          <w:szCs w:val="22"/>
          <w:lang w:val="en-GB"/>
        </w:rPr>
        <w:t xml:space="preserve"> decisions whether to bring charges, what </w:t>
      </w:r>
      <w:r w:rsidR="008824B2">
        <w:rPr>
          <w:rFonts w:asciiTheme="majorHAnsi" w:hAnsiTheme="majorHAnsi" w:cs="Arial"/>
          <w:sz w:val="22"/>
          <w:szCs w:val="22"/>
          <w:lang w:val="en-GB"/>
        </w:rPr>
        <w:t>type of charge to bring (criminal or administrative), which specific charge to press</w:t>
      </w:r>
      <w:r w:rsidRPr="00B46D91">
        <w:rPr>
          <w:rFonts w:asciiTheme="majorHAnsi" w:hAnsiTheme="majorHAnsi" w:cs="Arial"/>
          <w:sz w:val="22"/>
          <w:szCs w:val="22"/>
          <w:lang w:val="en-GB"/>
        </w:rPr>
        <w:t xml:space="preserve">, and whether to </w:t>
      </w:r>
      <w:r w:rsidR="008824B2">
        <w:rPr>
          <w:rFonts w:asciiTheme="majorHAnsi" w:hAnsiTheme="majorHAnsi" w:cs="Arial"/>
          <w:sz w:val="22"/>
          <w:szCs w:val="22"/>
          <w:lang w:val="en-GB"/>
        </w:rPr>
        <w:t>impose restrictions on the individual’s freedom of movement pending trial.</w:t>
      </w:r>
      <w:r>
        <w:rPr>
          <w:rFonts w:asciiTheme="majorHAnsi" w:hAnsiTheme="majorHAnsi" w:cs="Arial"/>
          <w:sz w:val="22"/>
          <w:szCs w:val="22"/>
          <w:lang w:val="en-GB"/>
        </w:rPr>
        <w:t xml:space="preserve"> </w:t>
      </w:r>
    </w:p>
    <w:p w14:paraId="328B413D" w14:textId="4E263314" w:rsidR="00B17CE0" w:rsidRDefault="001B6E9B" w:rsidP="00B17CE0">
      <w:pPr>
        <w:pStyle w:val="NormalWeb"/>
        <w:rPr>
          <w:rFonts w:asciiTheme="majorHAnsi" w:hAnsiTheme="majorHAnsi" w:cs="Arial"/>
          <w:b/>
          <w:sz w:val="22"/>
          <w:szCs w:val="22"/>
          <w:u w:val="single"/>
          <w:lang w:val="en-GB"/>
        </w:rPr>
      </w:pPr>
      <w:r>
        <w:rPr>
          <w:rFonts w:asciiTheme="majorHAnsi" w:hAnsiTheme="majorHAnsi" w:cs="Arial"/>
          <w:b/>
          <w:sz w:val="22"/>
          <w:szCs w:val="22"/>
          <w:u w:val="single"/>
          <w:lang w:val="en-GB"/>
        </w:rPr>
        <w:t>Notification requirements</w:t>
      </w:r>
    </w:p>
    <w:p w14:paraId="31FC01B0" w14:textId="7DB883FA" w:rsidR="00C9431E" w:rsidRDefault="001B6E9B" w:rsidP="00B17CE0">
      <w:pPr>
        <w:pStyle w:val="NormalWeb"/>
        <w:rPr>
          <w:rFonts w:asciiTheme="majorHAnsi" w:hAnsiTheme="majorHAnsi" w:cs="Arial"/>
          <w:sz w:val="22"/>
          <w:szCs w:val="22"/>
          <w:lang w:val="en-GB"/>
        </w:rPr>
      </w:pPr>
      <w:r>
        <w:rPr>
          <w:rFonts w:asciiTheme="majorHAnsi" w:hAnsiTheme="majorHAnsi" w:cs="Arial"/>
          <w:sz w:val="22"/>
          <w:szCs w:val="22"/>
          <w:lang w:val="en-GB"/>
        </w:rPr>
        <w:t xml:space="preserve">The draft </w:t>
      </w:r>
      <w:r w:rsidR="00AC4F04">
        <w:rPr>
          <w:rFonts w:asciiTheme="majorHAnsi" w:hAnsiTheme="majorHAnsi" w:cs="Arial"/>
          <w:sz w:val="22"/>
          <w:szCs w:val="22"/>
          <w:lang w:val="en-GB"/>
        </w:rPr>
        <w:t xml:space="preserve">points out in paragraph 82 </w:t>
      </w:r>
      <w:r>
        <w:rPr>
          <w:rFonts w:asciiTheme="majorHAnsi" w:hAnsiTheme="majorHAnsi" w:cs="Arial"/>
          <w:sz w:val="22"/>
          <w:szCs w:val="22"/>
          <w:lang w:val="en-GB"/>
        </w:rPr>
        <w:t>that</w:t>
      </w:r>
      <w:r w:rsidR="00AC4F04">
        <w:rPr>
          <w:rFonts w:asciiTheme="majorHAnsi" w:hAnsiTheme="majorHAnsi" w:cs="Arial"/>
          <w:sz w:val="22"/>
          <w:szCs w:val="22"/>
          <w:lang w:val="en-GB"/>
        </w:rPr>
        <w:t xml:space="preserve"> prior n</w:t>
      </w:r>
      <w:r w:rsidR="00AC4F04" w:rsidRPr="00AC4F04">
        <w:rPr>
          <w:rFonts w:asciiTheme="majorHAnsi" w:hAnsiTheme="majorHAnsi" w:cs="Arial"/>
          <w:sz w:val="22"/>
          <w:szCs w:val="22"/>
          <w:lang w:val="en-GB"/>
        </w:rPr>
        <w:t>otification must not be required for spontaneous assemblies</w:t>
      </w:r>
      <w:r w:rsidR="00AC4F04">
        <w:rPr>
          <w:rFonts w:asciiTheme="majorHAnsi" w:hAnsiTheme="majorHAnsi" w:cs="Arial"/>
          <w:sz w:val="22"/>
          <w:szCs w:val="22"/>
          <w:lang w:val="en-GB"/>
        </w:rPr>
        <w:t>,</w:t>
      </w:r>
      <w:r w:rsidR="00AC4F04" w:rsidRPr="00AC4F04">
        <w:rPr>
          <w:rFonts w:asciiTheme="majorHAnsi" w:hAnsiTheme="majorHAnsi" w:cs="Arial"/>
          <w:sz w:val="22"/>
          <w:szCs w:val="22"/>
          <w:lang w:val="en-GB"/>
        </w:rPr>
        <w:t xml:space="preserve"> since they do not allow enough time to provide such notice.</w:t>
      </w:r>
      <w:r>
        <w:rPr>
          <w:rFonts w:asciiTheme="majorHAnsi" w:hAnsiTheme="majorHAnsi" w:cs="Arial"/>
          <w:sz w:val="22"/>
          <w:szCs w:val="22"/>
          <w:lang w:val="en-GB"/>
        </w:rPr>
        <w:t xml:space="preserve"> </w:t>
      </w:r>
      <w:r w:rsidR="00AC4F04">
        <w:rPr>
          <w:rFonts w:asciiTheme="majorHAnsi" w:hAnsiTheme="majorHAnsi" w:cs="Arial"/>
          <w:sz w:val="22"/>
          <w:szCs w:val="22"/>
          <w:lang w:val="en-GB"/>
        </w:rPr>
        <w:t>We</w:t>
      </w:r>
      <w:r w:rsidR="00FD0CBE">
        <w:rPr>
          <w:rFonts w:asciiTheme="majorHAnsi" w:hAnsiTheme="majorHAnsi" w:cs="Arial"/>
          <w:sz w:val="22"/>
          <w:szCs w:val="22"/>
          <w:lang w:val="en-GB"/>
        </w:rPr>
        <w:t xml:space="preserve"> </w:t>
      </w:r>
      <w:r w:rsidR="00AC4F04">
        <w:rPr>
          <w:rFonts w:asciiTheme="majorHAnsi" w:hAnsiTheme="majorHAnsi" w:cs="Arial"/>
          <w:sz w:val="22"/>
          <w:szCs w:val="22"/>
          <w:lang w:val="en-GB"/>
        </w:rPr>
        <w:t>believe there is a further category of assemblies that should be exempted from any notice requirements</w:t>
      </w:r>
      <w:r w:rsidR="004C0406">
        <w:rPr>
          <w:rFonts w:asciiTheme="majorHAnsi" w:hAnsiTheme="majorHAnsi" w:cs="Arial"/>
          <w:sz w:val="22"/>
          <w:szCs w:val="22"/>
          <w:lang w:val="en-GB"/>
        </w:rPr>
        <w:t>, namely,</w:t>
      </w:r>
      <w:r w:rsidR="00AC4F04">
        <w:rPr>
          <w:rFonts w:asciiTheme="majorHAnsi" w:hAnsiTheme="majorHAnsi" w:cs="Arial"/>
          <w:sz w:val="22"/>
          <w:szCs w:val="22"/>
          <w:lang w:val="en-GB"/>
        </w:rPr>
        <w:t xml:space="preserve"> assemblies whose effectiveness depends on the element of surprise. </w:t>
      </w:r>
      <w:r w:rsidR="00BC279F">
        <w:rPr>
          <w:rFonts w:asciiTheme="majorHAnsi" w:hAnsiTheme="majorHAnsi" w:cs="Arial"/>
          <w:sz w:val="22"/>
          <w:szCs w:val="22"/>
          <w:lang w:val="en-GB"/>
        </w:rPr>
        <w:t>The</w:t>
      </w:r>
      <w:r w:rsidR="00C9431E">
        <w:rPr>
          <w:rFonts w:asciiTheme="majorHAnsi" w:hAnsiTheme="majorHAnsi" w:cs="Arial"/>
          <w:sz w:val="22"/>
          <w:szCs w:val="22"/>
          <w:lang w:val="en-GB"/>
        </w:rPr>
        <w:t xml:space="preserve">re at least two </w:t>
      </w:r>
      <w:r w:rsidR="009333F2">
        <w:rPr>
          <w:rFonts w:asciiTheme="majorHAnsi" w:hAnsiTheme="majorHAnsi" w:cs="Arial"/>
          <w:sz w:val="22"/>
          <w:szCs w:val="22"/>
          <w:lang w:val="en-GB"/>
        </w:rPr>
        <w:t>varieties</w:t>
      </w:r>
      <w:r w:rsidR="00C9431E">
        <w:rPr>
          <w:rFonts w:asciiTheme="majorHAnsi" w:hAnsiTheme="majorHAnsi" w:cs="Arial"/>
          <w:sz w:val="22"/>
          <w:szCs w:val="22"/>
          <w:lang w:val="en-GB"/>
        </w:rPr>
        <w:t xml:space="preserve"> of assemblies that fit this description: flash-mobs and direct action protests. </w:t>
      </w:r>
    </w:p>
    <w:p w14:paraId="783D7CA2" w14:textId="54929506" w:rsidR="00C64BF4" w:rsidRDefault="00C9431E" w:rsidP="00C64BF4">
      <w:pPr>
        <w:pStyle w:val="NormalWeb"/>
        <w:rPr>
          <w:rFonts w:asciiTheme="majorHAnsi" w:hAnsiTheme="majorHAnsi" w:cs="Arial"/>
          <w:sz w:val="22"/>
          <w:szCs w:val="22"/>
          <w:lang w:val="en-GB"/>
        </w:rPr>
      </w:pPr>
      <w:r>
        <w:rPr>
          <w:rFonts w:asciiTheme="majorHAnsi" w:hAnsiTheme="majorHAnsi" w:cs="Arial"/>
          <w:sz w:val="22"/>
          <w:szCs w:val="22"/>
          <w:lang w:val="en-GB"/>
        </w:rPr>
        <w:t>Flash-mobs are</w:t>
      </w:r>
      <w:r w:rsidR="009333F2">
        <w:rPr>
          <w:rFonts w:asciiTheme="majorHAnsi" w:hAnsiTheme="majorHAnsi" w:cs="Arial"/>
          <w:sz w:val="22"/>
          <w:szCs w:val="22"/>
          <w:lang w:val="en-GB"/>
        </w:rPr>
        <w:t xml:space="preserve"> </w:t>
      </w:r>
      <w:r>
        <w:rPr>
          <w:rFonts w:asciiTheme="majorHAnsi" w:hAnsiTheme="majorHAnsi" w:cs="Arial"/>
          <w:sz w:val="22"/>
          <w:szCs w:val="22"/>
          <w:lang w:val="en-GB"/>
        </w:rPr>
        <w:t>by definition unexpected events, and informing the authorities in advance would often defeat their purpose. Direct action protests typically consist of a symbolic confrontation</w:t>
      </w:r>
      <w:r w:rsidR="009333F2">
        <w:rPr>
          <w:rFonts w:asciiTheme="majorHAnsi" w:hAnsiTheme="majorHAnsi" w:cs="Arial"/>
          <w:sz w:val="22"/>
          <w:szCs w:val="22"/>
          <w:lang w:val="en-GB"/>
        </w:rPr>
        <w:t xml:space="preserve">. If prior notice is given, word may reach the action target, which may then make preparations </w:t>
      </w:r>
      <w:r w:rsidR="003B161E">
        <w:rPr>
          <w:rFonts w:asciiTheme="majorHAnsi" w:hAnsiTheme="majorHAnsi" w:cs="Arial"/>
          <w:sz w:val="22"/>
          <w:szCs w:val="22"/>
          <w:lang w:val="en-GB"/>
        </w:rPr>
        <w:t>that</w:t>
      </w:r>
      <w:r w:rsidR="009333F2">
        <w:rPr>
          <w:rFonts w:asciiTheme="majorHAnsi" w:hAnsiTheme="majorHAnsi" w:cs="Arial"/>
          <w:sz w:val="22"/>
          <w:szCs w:val="22"/>
          <w:lang w:val="en-GB"/>
        </w:rPr>
        <w:t xml:space="preserve"> cause the action to lose its sting, or even prevent it from going ahead entirely.</w:t>
      </w:r>
      <w:r w:rsidR="00C64BF4">
        <w:rPr>
          <w:rFonts w:asciiTheme="majorHAnsi" w:hAnsiTheme="majorHAnsi" w:cs="Arial"/>
          <w:sz w:val="22"/>
          <w:szCs w:val="22"/>
          <w:lang w:val="en-GB"/>
        </w:rPr>
        <w:t xml:space="preserve"> </w:t>
      </w:r>
    </w:p>
    <w:p w14:paraId="72701127" w14:textId="4729E9F5" w:rsidR="00C64BF4" w:rsidRPr="00C64BF4" w:rsidRDefault="00C64BF4" w:rsidP="00C64BF4">
      <w:pPr>
        <w:pStyle w:val="NormalWeb"/>
        <w:rPr>
          <w:rFonts w:asciiTheme="majorHAnsi" w:hAnsiTheme="majorHAnsi" w:cs="Arial"/>
          <w:sz w:val="22"/>
          <w:szCs w:val="22"/>
          <w:lang w:val="en-GB"/>
        </w:rPr>
      </w:pPr>
      <w:r w:rsidRPr="00C64BF4">
        <w:rPr>
          <w:rFonts w:asciiTheme="majorHAnsi" w:hAnsiTheme="majorHAnsi" w:cs="Arial"/>
          <w:sz w:val="22"/>
          <w:szCs w:val="22"/>
          <w:lang w:val="en-GB"/>
        </w:rPr>
        <w:t xml:space="preserve">In </w:t>
      </w:r>
      <w:proofErr w:type="spellStart"/>
      <w:r w:rsidRPr="00C64BF4">
        <w:rPr>
          <w:rFonts w:asciiTheme="majorHAnsi" w:hAnsiTheme="majorHAnsi" w:cs="Arial"/>
          <w:i/>
          <w:sz w:val="22"/>
          <w:szCs w:val="22"/>
          <w:lang w:val="en-GB"/>
        </w:rPr>
        <w:t>Chernega</w:t>
      </w:r>
      <w:proofErr w:type="spellEnd"/>
      <w:r w:rsidRPr="00C64BF4">
        <w:rPr>
          <w:rFonts w:asciiTheme="majorHAnsi" w:hAnsiTheme="majorHAnsi" w:cs="Arial"/>
          <w:i/>
          <w:sz w:val="22"/>
          <w:szCs w:val="22"/>
          <w:lang w:val="en-GB"/>
        </w:rPr>
        <w:t xml:space="preserve"> and Others v. Ukraine, </w:t>
      </w:r>
      <w:r w:rsidRPr="00C64BF4">
        <w:rPr>
          <w:rFonts w:asciiTheme="majorHAnsi" w:hAnsiTheme="majorHAnsi" w:cs="Arial"/>
          <w:sz w:val="22"/>
          <w:szCs w:val="22"/>
          <w:lang w:val="en-GB"/>
        </w:rPr>
        <w:t xml:space="preserve">the </w:t>
      </w:r>
      <w:r>
        <w:rPr>
          <w:rFonts w:asciiTheme="majorHAnsi" w:hAnsiTheme="majorHAnsi" w:cs="Arial"/>
          <w:sz w:val="22"/>
          <w:szCs w:val="22"/>
          <w:lang w:val="en-GB"/>
        </w:rPr>
        <w:t xml:space="preserve">European </w:t>
      </w:r>
      <w:r w:rsidRPr="00C64BF4">
        <w:rPr>
          <w:rFonts w:asciiTheme="majorHAnsi" w:hAnsiTheme="majorHAnsi" w:cs="Arial"/>
          <w:sz w:val="22"/>
          <w:szCs w:val="22"/>
          <w:lang w:val="en-GB"/>
        </w:rPr>
        <w:t>Court</w:t>
      </w:r>
      <w:r>
        <w:rPr>
          <w:rFonts w:asciiTheme="majorHAnsi" w:hAnsiTheme="majorHAnsi" w:cs="Arial"/>
          <w:sz w:val="22"/>
          <w:szCs w:val="22"/>
          <w:lang w:val="en-GB"/>
        </w:rPr>
        <w:t xml:space="preserve"> of Human Rights</w:t>
      </w:r>
      <w:r w:rsidR="0079667F">
        <w:rPr>
          <w:rFonts w:asciiTheme="majorHAnsi" w:hAnsiTheme="majorHAnsi" w:cs="Arial"/>
          <w:sz w:val="22"/>
          <w:szCs w:val="22"/>
          <w:lang w:val="en-GB"/>
        </w:rPr>
        <w:t xml:space="preserve"> </w:t>
      </w:r>
      <w:r w:rsidRPr="00C64BF4">
        <w:rPr>
          <w:rFonts w:asciiTheme="majorHAnsi" w:hAnsiTheme="majorHAnsi" w:cs="Arial"/>
          <w:sz w:val="22"/>
          <w:szCs w:val="22"/>
          <w:lang w:val="en-GB"/>
        </w:rPr>
        <w:t>recognised that requiring prior notice is not appropriate in the case of obstructive protest actions:</w:t>
      </w:r>
    </w:p>
    <w:p w14:paraId="504EE8D2" w14:textId="065FEA96" w:rsidR="00C64BF4" w:rsidRPr="00C64BF4" w:rsidRDefault="00C64BF4" w:rsidP="00E86303">
      <w:pPr>
        <w:pStyle w:val="NormalWeb"/>
        <w:ind w:left="720" w:right="645"/>
        <w:rPr>
          <w:rFonts w:asciiTheme="majorHAnsi" w:hAnsiTheme="majorHAnsi" w:cs="Arial"/>
          <w:sz w:val="22"/>
          <w:szCs w:val="22"/>
          <w:lang w:val="en-GB"/>
        </w:rPr>
      </w:pPr>
      <w:r w:rsidRPr="00C64BF4">
        <w:rPr>
          <w:rFonts w:asciiTheme="majorHAnsi" w:hAnsiTheme="majorHAnsi" w:cs="Arial"/>
          <w:iCs/>
          <w:sz w:val="22"/>
          <w:szCs w:val="22"/>
          <w:lang w:val="en-GB"/>
        </w:rPr>
        <w:t xml:space="preserve">The Court is not convinced, moreover, that a purely obstructive protest </w:t>
      </w:r>
      <w:bookmarkStart w:id="0" w:name="_GoBack"/>
      <w:bookmarkEnd w:id="0"/>
      <w:r w:rsidRPr="00C64BF4">
        <w:rPr>
          <w:rFonts w:asciiTheme="majorHAnsi" w:hAnsiTheme="majorHAnsi" w:cs="Arial"/>
          <w:iCs/>
          <w:sz w:val="22"/>
          <w:szCs w:val="22"/>
          <w:lang w:val="en-GB"/>
        </w:rPr>
        <w:t xml:space="preserve">action which, by its very nature, would normally be unlawful as infringing on the rights and legitimate interests of third parties, could, in principle and as a practical matter, be subjected to prior notification requirements. Such a </w:t>
      </w:r>
      <w:r w:rsidRPr="00C64BF4">
        <w:rPr>
          <w:rFonts w:asciiTheme="majorHAnsi" w:hAnsiTheme="majorHAnsi" w:cs="Arial"/>
          <w:iCs/>
          <w:sz w:val="22"/>
          <w:szCs w:val="22"/>
          <w:lang w:val="en-GB"/>
        </w:rPr>
        <w:lastRenderedPageBreak/>
        <w:t>requirement would deprive many such actions of much effect and would amount to a requirement to declare the intention to break the law.</w:t>
      </w:r>
      <w:r w:rsidR="00B573D0">
        <w:rPr>
          <w:rStyle w:val="FootnoteReference"/>
          <w:rFonts w:asciiTheme="majorHAnsi" w:hAnsiTheme="majorHAnsi" w:cs="Arial"/>
          <w:iCs/>
          <w:sz w:val="22"/>
          <w:szCs w:val="22"/>
          <w:lang w:val="en-GB"/>
        </w:rPr>
        <w:footnoteReference w:id="6"/>
      </w:r>
    </w:p>
    <w:p w14:paraId="1BDE5A58" w14:textId="5B4F9B45" w:rsidR="00C9431E" w:rsidRPr="00C9431E" w:rsidRDefault="00681262" w:rsidP="00B17CE0">
      <w:pPr>
        <w:pStyle w:val="NormalWeb"/>
        <w:rPr>
          <w:rFonts w:asciiTheme="majorHAnsi" w:hAnsiTheme="majorHAnsi" w:cs="Arial"/>
          <w:sz w:val="22"/>
          <w:szCs w:val="22"/>
          <w:lang w:val="en-GB"/>
        </w:rPr>
      </w:pPr>
      <w:r>
        <w:rPr>
          <w:rFonts w:asciiTheme="majorHAnsi" w:hAnsiTheme="majorHAnsi" w:cs="Arial"/>
          <w:sz w:val="22"/>
          <w:szCs w:val="22"/>
          <w:lang w:val="en-GB"/>
        </w:rPr>
        <w:t xml:space="preserve">While the Court speaks about </w:t>
      </w:r>
      <w:r w:rsidR="00A36232">
        <w:rPr>
          <w:rFonts w:asciiTheme="majorHAnsi" w:hAnsiTheme="majorHAnsi" w:cs="Arial"/>
          <w:sz w:val="22"/>
          <w:szCs w:val="22"/>
          <w:lang w:val="en-GB"/>
        </w:rPr>
        <w:t>purely obstructive</w:t>
      </w:r>
      <w:r>
        <w:rPr>
          <w:rFonts w:asciiTheme="majorHAnsi" w:hAnsiTheme="majorHAnsi" w:cs="Arial"/>
          <w:sz w:val="22"/>
          <w:szCs w:val="22"/>
          <w:lang w:val="en-GB"/>
        </w:rPr>
        <w:t xml:space="preserve"> actions, its concern</w:t>
      </w:r>
      <w:r w:rsidR="00A36232">
        <w:rPr>
          <w:rFonts w:asciiTheme="majorHAnsi" w:hAnsiTheme="majorHAnsi" w:cs="Arial"/>
          <w:sz w:val="22"/>
          <w:szCs w:val="22"/>
          <w:lang w:val="en-GB"/>
        </w:rPr>
        <w:t xml:space="preserve"> about depriving protests of their effect</w:t>
      </w:r>
      <w:r>
        <w:rPr>
          <w:rFonts w:asciiTheme="majorHAnsi" w:hAnsiTheme="majorHAnsi" w:cs="Arial"/>
          <w:sz w:val="22"/>
          <w:szCs w:val="22"/>
          <w:lang w:val="en-GB"/>
        </w:rPr>
        <w:t xml:space="preserve"> </w:t>
      </w:r>
      <w:r w:rsidR="00A36232">
        <w:rPr>
          <w:rFonts w:asciiTheme="majorHAnsi" w:hAnsiTheme="majorHAnsi" w:cs="Arial"/>
          <w:sz w:val="22"/>
          <w:szCs w:val="22"/>
          <w:lang w:val="en-GB"/>
        </w:rPr>
        <w:t>is</w:t>
      </w:r>
      <w:r>
        <w:rPr>
          <w:rFonts w:asciiTheme="majorHAnsi" w:hAnsiTheme="majorHAnsi" w:cs="Arial"/>
          <w:sz w:val="22"/>
          <w:szCs w:val="22"/>
          <w:lang w:val="en-GB"/>
        </w:rPr>
        <w:t xml:space="preserve"> equally </w:t>
      </w:r>
      <w:r w:rsidR="00A36232">
        <w:rPr>
          <w:rFonts w:asciiTheme="majorHAnsi" w:hAnsiTheme="majorHAnsi" w:cs="Arial"/>
          <w:sz w:val="22"/>
          <w:szCs w:val="22"/>
          <w:lang w:val="en-GB"/>
        </w:rPr>
        <w:t>relevant in relation to non-obstructive protest action</w:t>
      </w:r>
      <w:r w:rsidR="00F61C78">
        <w:rPr>
          <w:rFonts w:asciiTheme="majorHAnsi" w:hAnsiTheme="majorHAnsi" w:cs="Arial"/>
          <w:sz w:val="22"/>
          <w:szCs w:val="22"/>
          <w:lang w:val="en-GB"/>
        </w:rPr>
        <w:t>s</w:t>
      </w:r>
      <w:r w:rsidR="00A36232">
        <w:rPr>
          <w:rFonts w:asciiTheme="majorHAnsi" w:hAnsiTheme="majorHAnsi" w:cs="Arial"/>
          <w:sz w:val="22"/>
          <w:szCs w:val="22"/>
          <w:lang w:val="en-GB"/>
        </w:rPr>
        <w:t>, such as activists unfurling a banner on a landmark</w:t>
      </w:r>
      <w:r w:rsidR="000639AB">
        <w:rPr>
          <w:rFonts w:asciiTheme="majorHAnsi" w:hAnsiTheme="majorHAnsi" w:cs="Arial"/>
          <w:sz w:val="22"/>
          <w:szCs w:val="22"/>
          <w:lang w:val="en-GB"/>
        </w:rPr>
        <w:t xml:space="preserve"> or chaining themselves to a fence, without impeding any person or activity.</w:t>
      </w:r>
    </w:p>
    <w:p w14:paraId="095F972A" w14:textId="77777777" w:rsidR="00B538E4" w:rsidRPr="00B46D91" w:rsidRDefault="00B538E4">
      <w:pPr>
        <w:rPr>
          <w:rFonts w:asciiTheme="majorHAnsi" w:hAnsiTheme="majorHAnsi" w:cs="Arial"/>
          <w:sz w:val="22"/>
          <w:szCs w:val="22"/>
          <w:lang w:val="en-GB"/>
        </w:rPr>
      </w:pPr>
    </w:p>
    <w:sectPr w:rsidR="00B538E4" w:rsidRPr="00B46D91" w:rsidSect="009D2324">
      <w:headerReference w:type="first" r:id="rId7"/>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59DF4" w14:textId="77777777" w:rsidR="00DD1228" w:rsidRDefault="00DD1228" w:rsidP="0072347F">
      <w:r>
        <w:separator/>
      </w:r>
    </w:p>
  </w:endnote>
  <w:endnote w:type="continuationSeparator" w:id="0">
    <w:p w14:paraId="77958287" w14:textId="77777777" w:rsidR="00DD1228" w:rsidRDefault="00DD1228" w:rsidP="0072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B8312" w14:textId="77777777" w:rsidR="00DD1228" w:rsidRDefault="00DD1228" w:rsidP="0072347F">
      <w:r>
        <w:separator/>
      </w:r>
    </w:p>
  </w:footnote>
  <w:footnote w:type="continuationSeparator" w:id="0">
    <w:p w14:paraId="1275966F" w14:textId="77777777" w:rsidR="00DD1228" w:rsidRDefault="00DD1228" w:rsidP="0072347F">
      <w:r>
        <w:continuationSeparator/>
      </w:r>
    </w:p>
  </w:footnote>
  <w:footnote w:id="1">
    <w:p w14:paraId="3ADAC6B2" w14:textId="608F4E76" w:rsidR="00B85265" w:rsidRPr="00B85265" w:rsidRDefault="00B85265">
      <w:pPr>
        <w:pStyle w:val="FootnoteText"/>
        <w:rPr>
          <w:rFonts w:ascii="Calibri" w:hAnsi="Calibri"/>
          <w:sz w:val="20"/>
          <w:szCs w:val="20"/>
        </w:rPr>
      </w:pPr>
      <w:r>
        <w:rPr>
          <w:rStyle w:val="FootnoteReference"/>
        </w:rPr>
        <w:footnoteRef/>
      </w:r>
      <w:r>
        <w:rPr>
          <w:rFonts w:ascii="Calibri" w:hAnsi="Calibri"/>
          <w:sz w:val="20"/>
          <w:szCs w:val="20"/>
        </w:rPr>
        <w:t>African</w:t>
      </w:r>
      <w:r w:rsidRPr="00BA548B">
        <w:rPr>
          <w:rFonts w:ascii="Calibri" w:hAnsi="Calibri"/>
          <w:sz w:val="20"/>
          <w:szCs w:val="20"/>
        </w:rPr>
        <w:t xml:space="preserve"> Guidelines, para. </w:t>
      </w:r>
      <w:r>
        <w:rPr>
          <w:rFonts w:ascii="Calibri" w:hAnsi="Calibri"/>
          <w:sz w:val="20"/>
          <w:szCs w:val="20"/>
        </w:rPr>
        <w:t>3</w:t>
      </w:r>
      <w:r w:rsidRPr="00BA548B">
        <w:rPr>
          <w:rFonts w:ascii="Calibri" w:hAnsi="Calibri"/>
          <w:sz w:val="20"/>
          <w:szCs w:val="20"/>
        </w:rPr>
        <w:t>.</w:t>
      </w:r>
      <w:r>
        <w:t xml:space="preserve"> </w:t>
      </w:r>
    </w:p>
  </w:footnote>
  <w:footnote w:id="2">
    <w:p w14:paraId="20C1FF99" w14:textId="77777777" w:rsidR="00B85265" w:rsidRPr="00BA548B" w:rsidRDefault="00B85265" w:rsidP="00B85265">
      <w:pPr>
        <w:pStyle w:val="FootnoteText"/>
        <w:rPr>
          <w:rFonts w:ascii="Calibri" w:hAnsi="Calibri"/>
          <w:sz w:val="20"/>
          <w:szCs w:val="20"/>
        </w:rPr>
      </w:pPr>
      <w:r w:rsidRPr="00BA548B">
        <w:rPr>
          <w:rStyle w:val="FootnoteReference"/>
          <w:rFonts w:ascii="Calibri" w:hAnsi="Calibri"/>
          <w:sz w:val="20"/>
          <w:szCs w:val="20"/>
        </w:rPr>
        <w:footnoteRef/>
      </w:r>
      <w:r w:rsidRPr="00BA548B">
        <w:rPr>
          <w:rFonts w:ascii="Calibri" w:hAnsi="Calibri"/>
          <w:sz w:val="20"/>
          <w:szCs w:val="20"/>
        </w:rPr>
        <w:t xml:space="preserve"> OSCE Guidelines, para. 1.2.</w:t>
      </w:r>
    </w:p>
  </w:footnote>
  <w:footnote w:id="3">
    <w:p w14:paraId="022223EE" w14:textId="6BE38D76" w:rsidR="00F710A3" w:rsidRPr="00DF37F9" w:rsidRDefault="00F710A3">
      <w:pPr>
        <w:pStyle w:val="FootnoteText"/>
      </w:pPr>
      <w:r>
        <w:rPr>
          <w:rStyle w:val="FootnoteReference"/>
        </w:rPr>
        <w:footnoteRef/>
      </w:r>
      <w:r>
        <w:t xml:space="preserve"> </w:t>
      </w:r>
      <w:r w:rsidRPr="00BA548B">
        <w:rPr>
          <w:rFonts w:ascii="Calibri" w:hAnsi="Calibri"/>
          <w:sz w:val="20"/>
          <w:szCs w:val="20"/>
        </w:rPr>
        <w:t xml:space="preserve">See, for example, </w:t>
      </w:r>
      <w:r w:rsidRPr="00BA548B">
        <w:rPr>
          <w:rFonts w:ascii="Calibri" w:hAnsi="Calibri"/>
          <w:i/>
          <w:sz w:val="20"/>
          <w:szCs w:val="20"/>
        </w:rPr>
        <w:t>Steel and Morris v. United Kingdom</w:t>
      </w:r>
      <w:r w:rsidRPr="00BA548B">
        <w:rPr>
          <w:rFonts w:ascii="Calibri" w:hAnsi="Calibri"/>
          <w:sz w:val="20"/>
          <w:szCs w:val="20"/>
        </w:rPr>
        <w:t>, ECtHR, 15 February 2005,</w:t>
      </w:r>
      <w:r w:rsidRPr="00BA548B">
        <w:rPr>
          <w:rFonts w:ascii="Calibri" w:hAnsi="Calibri"/>
          <w:i/>
          <w:sz w:val="20"/>
          <w:szCs w:val="20"/>
        </w:rPr>
        <w:t xml:space="preserve"> </w:t>
      </w:r>
      <w:r w:rsidRPr="00BA548B">
        <w:rPr>
          <w:rFonts w:ascii="Calibri" w:hAnsi="Calibri"/>
          <w:sz w:val="20"/>
          <w:szCs w:val="20"/>
        </w:rPr>
        <w:t>para. 94</w:t>
      </w:r>
      <w:r w:rsidR="00DF37F9">
        <w:rPr>
          <w:rFonts w:ascii="Calibri" w:hAnsi="Calibri"/>
          <w:sz w:val="20"/>
          <w:szCs w:val="20"/>
        </w:rPr>
        <w:t xml:space="preserve">; </w:t>
      </w:r>
      <w:proofErr w:type="spellStart"/>
      <w:r w:rsidR="00DF37F9" w:rsidRPr="00DF37F9">
        <w:rPr>
          <w:rFonts w:ascii="Calibri" w:hAnsi="Calibri"/>
          <w:i/>
          <w:sz w:val="20"/>
          <w:szCs w:val="20"/>
        </w:rPr>
        <w:t>Timpul</w:t>
      </w:r>
      <w:proofErr w:type="spellEnd"/>
      <w:r w:rsidR="00DF37F9" w:rsidRPr="00DF37F9">
        <w:rPr>
          <w:rFonts w:ascii="Calibri" w:hAnsi="Calibri"/>
          <w:i/>
          <w:sz w:val="20"/>
          <w:szCs w:val="20"/>
        </w:rPr>
        <w:t xml:space="preserve"> Info-</w:t>
      </w:r>
      <w:proofErr w:type="spellStart"/>
      <w:r w:rsidR="00DF37F9" w:rsidRPr="00DF37F9">
        <w:rPr>
          <w:rFonts w:ascii="Calibri" w:hAnsi="Calibri"/>
          <w:i/>
          <w:sz w:val="20"/>
          <w:szCs w:val="20"/>
        </w:rPr>
        <w:t>Magazin</w:t>
      </w:r>
      <w:proofErr w:type="spellEnd"/>
      <w:r w:rsidR="00DF37F9" w:rsidRPr="00DF37F9">
        <w:rPr>
          <w:rFonts w:ascii="Calibri" w:hAnsi="Calibri"/>
          <w:i/>
          <w:sz w:val="20"/>
          <w:szCs w:val="20"/>
        </w:rPr>
        <w:t xml:space="preserve"> and </w:t>
      </w:r>
      <w:proofErr w:type="spellStart"/>
      <w:r w:rsidR="00DF37F9" w:rsidRPr="00DF37F9">
        <w:rPr>
          <w:rFonts w:ascii="Calibri" w:hAnsi="Calibri"/>
          <w:i/>
          <w:sz w:val="20"/>
          <w:szCs w:val="20"/>
        </w:rPr>
        <w:t>Anghel</w:t>
      </w:r>
      <w:proofErr w:type="spellEnd"/>
      <w:r w:rsidR="00DF37F9" w:rsidRPr="00DF37F9">
        <w:rPr>
          <w:rFonts w:ascii="Calibri" w:hAnsi="Calibri"/>
          <w:i/>
          <w:sz w:val="20"/>
          <w:szCs w:val="20"/>
        </w:rPr>
        <w:t xml:space="preserve"> v. Moldova,</w:t>
      </w:r>
      <w:r w:rsidR="00DF37F9">
        <w:rPr>
          <w:rFonts w:ascii="Calibri" w:hAnsi="Calibri"/>
          <w:sz w:val="20"/>
          <w:szCs w:val="20"/>
        </w:rPr>
        <w:t xml:space="preserve"> ECtHR, </w:t>
      </w:r>
      <w:r w:rsidR="00DF37F9" w:rsidRPr="00DF37F9">
        <w:rPr>
          <w:rFonts w:ascii="Calibri" w:hAnsi="Calibri"/>
          <w:sz w:val="20"/>
          <w:szCs w:val="20"/>
        </w:rPr>
        <w:t>27 November 2007</w:t>
      </w:r>
      <w:r w:rsidR="00DF37F9">
        <w:rPr>
          <w:rFonts w:ascii="Calibri" w:hAnsi="Calibri"/>
          <w:sz w:val="20"/>
          <w:szCs w:val="20"/>
        </w:rPr>
        <w:t>, para. 33.</w:t>
      </w:r>
    </w:p>
  </w:footnote>
  <w:footnote w:id="4">
    <w:p w14:paraId="40949AA7" w14:textId="77777777" w:rsidR="0057338C" w:rsidRPr="00BA548B" w:rsidRDefault="0057338C" w:rsidP="0057338C">
      <w:pPr>
        <w:pStyle w:val="FootnoteText"/>
        <w:rPr>
          <w:rFonts w:ascii="Calibri" w:hAnsi="Calibri"/>
          <w:sz w:val="20"/>
          <w:szCs w:val="20"/>
        </w:rPr>
      </w:pPr>
      <w:r w:rsidRPr="00BA548B">
        <w:rPr>
          <w:rStyle w:val="FootnoteReference"/>
          <w:rFonts w:ascii="Calibri" w:hAnsi="Calibri"/>
          <w:sz w:val="20"/>
          <w:szCs w:val="20"/>
        </w:rPr>
        <w:footnoteRef/>
      </w:r>
      <w:r w:rsidRPr="00BA548B">
        <w:rPr>
          <w:rFonts w:ascii="Calibri" w:hAnsi="Calibri"/>
          <w:sz w:val="20"/>
          <w:szCs w:val="20"/>
        </w:rPr>
        <w:t xml:space="preserve"> Info Note on SLAPPs and FOAA Rights, 2017, available online at </w:t>
      </w:r>
      <w:hyperlink r:id="rId1" w:history="1">
        <w:r w:rsidRPr="00BA548B">
          <w:rPr>
            <w:rStyle w:val="Hyperlink"/>
            <w:rFonts w:ascii="Calibri" w:hAnsi="Calibri"/>
            <w:sz w:val="20"/>
            <w:szCs w:val="20"/>
          </w:rPr>
          <w:t>https://www.ohchr.org/Documents/Issues/FAssociation/InfoNoteSLAPPsFoAA.docx</w:t>
        </w:r>
      </w:hyperlink>
      <w:r w:rsidRPr="00BA548B">
        <w:rPr>
          <w:rFonts w:ascii="Calibri" w:hAnsi="Calibri"/>
          <w:sz w:val="20"/>
          <w:szCs w:val="20"/>
        </w:rPr>
        <w:t xml:space="preserve">. </w:t>
      </w:r>
    </w:p>
  </w:footnote>
  <w:footnote w:id="5">
    <w:p w14:paraId="133D63B9" w14:textId="77777777" w:rsidR="003F2F8D" w:rsidRPr="00BA548B" w:rsidRDefault="003F2F8D" w:rsidP="003F2F8D">
      <w:pPr>
        <w:pStyle w:val="FootnoteText"/>
        <w:rPr>
          <w:rFonts w:ascii="Calibri" w:hAnsi="Calibri"/>
          <w:sz w:val="20"/>
          <w:szCs w:val="20"/>
        </w:rPr>
      </w:pPr>
      <w:r w:rsidRPr="00BA548B">
        <w:rPr>
          <w:rStyle w:val="FootnoteReference"/>
          <w:rFonts w:ascii="Calibri" w:hAnsi="Calibri"/>
          <w:sz w:val="20"/>
          <w:szCs w:val="20"/>
        </w:rPr>
        <w:footnoteRef/>
      </w:r>
      <w:r w:rsidRPr="00BA548B">
        <w:rPr>
          <w:rFonts w:ascii="Calibri" w:hAnsi="Calibri"/>
          <w:sz w:val="20"/>
          <w:szCs w:val="20"/>
        </w:rPr>
        <w:t xml:space="preserve"> IACHR, </w:t>
      </w:r>
      <w:r w:rsidRPr="00BA548B">
        <w:rPr>
          <w:rFonts w:ascii="Calibri" w:hAnsi="Calibri"/>
          <w:i/>
          <w:sz w:val="20"/>
          <w:szCs w:val="20"/>
        </w:rPr>
        <w:t>Report on the Criminalization of the Work of Human Rights Defenders,</w:t>
      </w:r>
      <w:r w:rsidRPr="00BA548B">
        <w:rPr>
          <w:rFonts w:ascii="Calibri" w:hAnsi="Calibri"/>
          <w:sz w:val="20"/>
          <w:szCs w:val="20"/>
        </w:rPr>
        <w:t xml:space="preserve"> OEA/</w:t>
      </w:r>
      <w:proofErr w:type="spellStart"/>
      <w:r w:rsidRPr="00BA548B">
        <w:rPr>
          <w:rFonts w:ascii="Calibri" w:hAnsi="Calibri"/>
          <w:sz w:val="20"/>
          <w:szCs w:val="20"/>
        </w:rPr>
        <w:t>Ser.L</w:t>
      </w:r>
      <w:proofErr w:type="spellEnd"/>
      <w:r w:rsidRPr="00BA548B">
        <w:rPr>
          <w:rFonts w:ascii="Calibri" w:hAnsi="Calibri"/>
          <w:sz w:val="20"/>
          <w:szCs w:val="20"/>
        </w:rPr>
        <w:t>/V/II, Doc.49/15, 31 December 2015. See in particular paras. 45-46, discussing excessive charges against people participating in protests.</w:t>
      </w:r>
    </w:p>
  </w:footnote>
  <w:footnote w:id="6">
    <w:p w14:paraId="28B738E3" w14:textId="0E99D52E" w:rsidR="00B573D0" w:rsidRPr="009B48F3" w:rsidRDefault="00B573D0">
      <w:pPr>
        <w:pStyle w:val="FootnoteText"/>
        <w:rPr>
          <w:sz w:val="20"/>
          <w:szCs w:val="20"/>
        </w:rPr>
      </w:pPr>
      <w:r w:rsidRPr="009B48F3">
        <w:rPr>
          <w:rStyle w:val="FootnoteReference"/>
          <w:sz w:val="20"/>
          <w:szCs w:val="20"/>
        </w:rPr>
        <w:footnoteRef/>
      </w:r>
      <w:r w:rsidRPr="009B48F3">
        <w:rPr>
          <w:sz w:val="20"/>
          <w:szCs w:val="20"/>
        </w:rPr>
        <w:t xml:space="preserve"> </w:t>
      </w:r>
      <w:proofErr w:type="spellStart"/>
      <w:r w:rsidR="009B48F3" w:rsidRPr="009B48F3">
        <w:rPr>
          <w:i/>
          <w:sz w:val="20"/>
          <w:szCs w:val="20"/>
        </w:rPr>
        <w:t>Chernega</w:t>
      </w:r>
      <w:proofErr w:type="spellEnd"/>
      <w:r w:rsidR="009B48F3" w:rsidRPr="009B48F3">
        <w:rPr>
          <w:i/>
          <w:sz w:val="20"/>
          <w:szCs w:val="20"/>
        </w:rPr>
        <w:t xml:space="preserve"> and Others v. Ukraine,</w:t>
      </w:r>
      <w:r w:rsidR="009B48F3">
        <w:rPr>
          <w:i/>
          <w:sz w:val="20"/>
          <w:szCs w:val="20"/>
        </w:rPr>
        <w:t xml:space="preserve"> </w:t>
      </w:r>
      <w:r w:rsidR="009B48F3">
        <w:rPr>
          <w:sz w:val="20"/>
          <w:szCs w:val="20"/>
        </w:rPr>
        <w:t xml:space="preserve">ECtHR, Judgment of </w:t>
      </w:r>
      <w:r w:rsidR="009B48F3" w:rsidRPr="009B48F3">
        <w:rPr>
          <w:sz w:val="20"/>
          <w:szCs w:val="20"/>
        </w:rPr>
        <w:t>18 June 2019</w:t>
      </w:r>
      <w:r w:rsidR="009B48F3">
        <w:rPr>
          <w:sz w:val="20"/>
          <w:szCs w:val="20"/>
        </w:rPr>
        <w:t>, para.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2968" w14:textId="6585CE7D" w:rsidR="00BA2593" w:rsidRPr="00E550D2" w:rsidRDefault="00BA2593" w:rsidP="00BA2593">
    <w:pPr>
      <w:tabs>
        <w:tab w:val="left" w:pos="5529"/>
      </w:tabs>
      <w:ind w:left="4320" w:right="-914" w:firstLine="720"/>
      <w:rPr>
        <w:rFonts w:ascii="Arial" w:hAnsi="Arial" w:cs="Arial"/>
        <w:b/>
        <w:bCs/>
        <w:sz w:val="14"/>
        <w:szCs w:val="14"/>
      </w:rPr>
    </w:pPr>
    <w:r>
      <w:rPr>
        <w:noProof/>
        <w:sz w:val="20"/>
      </w:rPr>
      <mc:AlternateContent>
        <mc:Choice Requires="wps">
          <w:drawing>
            <wp:anchor distT="0" distB="0" distL="114300" distR="114300" simplePos="0" relativeHeight="251664384" behindDoc="0" locked="0" layoutInCell="1" allowOverlap="1" wp14:anchorId="7E294A5A" wp14:editId="7BA9A3BC">
              <wp:simplePos x="0" y="0"/>
              <wp:positionH relativeFrom="column">
                <wp:posOffset>3644900</wp:posOffset>
              </wp:positionH>
              <wp:positionV relativeFrom="paragraph">
                <wp:posOffset>6995</wp:posOffset>
              </wp:positionV>
              <wp:extent cx="2555823" cy="659567"/>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2555823" cy="659567"/>
                      </a:xfrm>
                      <a:prstGeom prst="rect">
                        <a:avLst/>
                      </a:prstGeom>
                      <a:solidFill>
                        <a:schemeClr val="lt1"/>
                      </a:solidFill>
                      <a:ln w="6350">
                        <a:noFill/>
                      </a:ln>
                    </wps:spPr>
                    <wps:txbx>
                      <w:txbxContent>
                        <w:p w14:paraId="483B96C0" w14:textId="01967DA6" w:rsidR="00BA2593" w:rsidRPr="00BA2593" w:rsidRDefault="00BA2593" w:rsidP="00BA2593">
                          <w:pPr>
                            <w:rPr>
                              <w:rFonts w:ascii="Arial" w:hAnsi="Arial" w:cs="Arial"/>
                              <w:sz w:val="14"/>
                              <w:szCs w:val="14"/>
                            </w:rPr>
                          </w:pPr>
                          <w:proofErr w:type="spellStart"/>
                          <w:r w:rsidRPr="00E550D2">
                            <w:rPr>
                              <w:rFonts w:ascii="Arial" w:hAnsi="Arial" w:cs="Arial"/>
                              <w:b/>
                              <w:bCs/>
                              <w:sz w:val="14"/>
                              <w:szCs w:val="14"/>
                            </w:rPr>
                            <w:t>greenpeace</w:t>
                          </w:r>
                          <w:proofErr w:type="spellEnd"/>
                          <w:r w:rsidRPr="00E550D2">
                            <w:rPr>
                              <w:rFonts w:ascii="Arial" w:hAnsi="Arial" w:cs="Arial"/>
                              <w:b/>
                              <w:bCs/>
                              <w:sz w:val="14"/>
                              <w:szCs w:val="14"/>
                            </w:rPr>
                            <w:t xml:space="preserve"> international</w:t>
                          </w:r>
                          <w:r>
                            <w:rPr>
                              <w:rFonts w:ascii="Arial" w:hAnsi="Arial" w:cs="Arial"/>
                              <w:b/>
                              <w:bCs/>
                              <w:sz w:val="14"/>
                              <w:szCs w:val="14"/>
                            </w:rPr>
                            <w:br/>
                          </w:r>
                          <w:proofErr w:type="spellStart"/>
                          <w:r w:rsidRPr="00E550D2">
                            <w:rPr>
                              <w:rFonts w:ascii="Arial" w:hAnsi="Arial" w:cs="Arial"/>
                              <w:sz w:val="14"/>
                              <w:szCs w:val="14"/>
                              <w:lang w:val="nl-NL"/>
                            </w:rPr>
                            <w:t>Ottho</w:t>
                          </w:r>
                          <w:proofErr w:type="spellEnd"/>
                          <w:r w:rsidRPr="00E550D2">
                            <w:rPr>
                              <w:rFonts w:ascii="Arial" w:hAnsi="Arial" w:cs="Arial"/>
                              <w:sz w:val="14"/>
                              <w:szCs w:val="14"/>
                              <w:lang w:val="nl-NL"/>
                            </w:rPr>
                            <w:t xml:space="preserve"> Heldringstraat 5, 1066 AZ, Amsterdam, Netherlands</w:t>
                          </w:r>
                          <w:r>
                            <w:rPr>
                              <w:rFonts w:ascii="Arial" w:hAnsi="Arial" w:cs="Arial"/>
                              <w:sz w:val="14"/>
                              <w:szCs w:val="14"/>
                              <w:lang w:val="nl-NL"/>
                            </w:rPr>
                            <w:br/>
                          </w:r>
                          <w:r w:rsidRPr="00E550D2">
                            <w:rPr>
                              <w:rFonts w:ascii="Arial" w:hAnsi="Arial" w:cs="Arial"/>
                              <w:sz w:val="14"/>
                              <w:szCs w:val="14"/>
                            </w:rPr>
                            <w:t>t +31 20 718 2000  f +31 20 514 8151</w:t>
                          </w:r>
                          <w:r>
                            <w:rPr>
                              <w:rFonts w:ascii="Arial" w:hAnsi="Arial" w:cs="Arial"/>
                              <w:sz w:val="14"/>
                              <w:szCs w:val="14"/>
                            </w:rPr>
                            <w:br/>
                          </w:r>
                          <w:proofErr w:type="spellStart"/>
                          <w:r w:rsidRPr="00E550D2">
                            <w:rPr>
                              <w:rFonts w:ascii="Arial" w:hAnsi="Arial" w:cs="Arial"/>
                              <w:sz w:val="14"/>
                              <w:szCs w:val="14"/>
                            </w:rPr>
                            <w:t>k.v.k</w:t>
                          </w:r>
                          <w:proofErr w:type="spellEnd"/>
                          <w:r w:rsidRPr="00E550D2">
                            <w:rPr>
                              <w:rFonts w:ascii="Arial" w:hAnsi="Arial" w:cs="Arial"/>
                              <w:sz w:val="14"/>
                              <w:szCs w:val="14"/>
                            </w:rPr>
                            <w:t xml:space="preserve">. reg. 41200415 </w:t>
                          </w:r>
                          <w:proofErr w:type="spellStart"/>
                          <w:r w:rsidRPr="00E550D2">
                            <w:rPr>
                              <w:rFonts w:ascii="Arial" w:hAnsi="Arial" w:cs="Arial"/>
                              <w:sz w:val="14"/>
                              <w:szCs w:val="14"/>
                            </w:rPr>
                            <w:t>stichting</w:t>
                          </w:r>
                          <w:proofErr w:type="spellEnd"/>
                          <w:r w:rsidRPr="00E550D2">
                            <w:rPr>
                              <w:rFonts w:ascii="Arial" w:hAnsi="Arial" w:cs="Arial"/>
                              <w:sz w:val="14"/>
                              <w:szCs w:val="14"/>
                            </w:rPr>
                            <w:t xml:space="preserve"> </w:t>
                          </w:r>
                          <w:proofErr w:type="spellStart"/>
                          <w:r w:rsidRPr="00E550D2">
                            <w:rPr>
                              <w:rFonts w:ascii="Arial" w:hAnsi="Arial" w:cs="Arial"/>
                              <w:sz w:val="14"/>
                              <w:szCs w:val="14"/>
                            </w:rPr>
                            <w:t>greenpeace</w:t>
                          </w:r>
                          <w:proofErr w:type="spellEnd"/>
                          <w:r w:rsidRPr="00BA2593">
                            <w:rPr>
                              <w:rFonts w:ascii="Arial" w:hAnsi="Arial" w:cs="Arial"/>
                              <w:sz w:val="14"/>
                              <w:szCs w:val="14"/>
                            </w:rPr>
                            <w:t xml:space="preserve"> council</w:t>
                          </w:r>
                        </w:p>
                        <w:p w14:paraId="311313D9" w14:textId="039399AC" w:rsidR="00BA2593" w:rsidRPr="00BA2593" w:rsidRDefault="00BA2593" w:rsidP="00BA2593">
                          <w:pPr>
                            <w:rPr>
                              <w:rFonts w:ascii="Arial" w:hAnsi="Arial" w:cs="Arial"/>
                              <w:b/>
                              <w:bCs/>
                              <w:sz w:val="14"/>
                              <w:szCs w:val="14"/>
                            </w:rPr>
                          </w:pPr>
                          <w:r w:rsidRPr="00BA2593">
                            <w:rPr>
                              <w:rFonts w:ascii="Arial" w:hAnsi="Arial" w:cs="Arial"/>
                              <w:b/>
                              <w:bCs/>
                              <w:sz w:val="14"/>
                              <w:szCs w:val="14"/>
                            </w:rPr>
                            <w:t>www.greenpeace.org</w:t>
                          </w:r>
                        </w:p>
                        <w:p w14:paraId="238E0082" w14:textId="3091751A" w:rsidR="00BA2593" w:rsidRDefault="00BA2593">
                          <w:r>
                            <w:rPr>
                              <w:rFonts w:ascii="Arial" w:hAnsi="Arial" w:cs="Arial"/>
                              <w:b/>
                              <w:bCs/>
                              <w:sz w:val="14"/>
                              <w:szCs w:val="1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294A5A" id="_x0000_t202" coordsize="21600,21600" o:spt="202" path="m,l,21600r21600,l21600,xe">
              <v:stroke joinstyle="miter"/>
              <v:path gradientshapeok="t" o:connecttype="rect"/>
            </v:shapetype>
            <v:shape id="Text Box 2" o:spid="_x0000_s1026" type="#_x0000_t202" style="position:absolute;left:0;text-align:left;margin-left:287pt;margin-top:.55pt;width:201.25pt;height:51.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" fillcolor="white [3201]" stroked="f" strokeweight=".5pt">
              <v:textbox>
                <w:txbxContent>
                  <w:p w14:paraId="483B96C0" w14:textId="01967DA6" w:rsidR="00BA2593" w:rsidRPr="00BA2593" w:rsidRDefault="00BA2593" w:rsidP="00BA2593">
                    <w:pPr>
                      <w:rPr>
                        <w:rFonts w:ascii="Arial" w:hAnsi="Arial" w:cs="Arial"/>
                        <w:sz w:val="14"/>
                        <w:szCs w:val="14"/>
                      </w:rPr>
                    </w:pPr>
                    <w:proofErr w:type="spellStart"/>
                    <w:r w:rsidRPr="00E550D2">
                      <w:rPr>
                        <w:rFonts w:ascii="Arial" w:hAnsi="Arial" w:cs="Arial"/>
                        <w:b/>
                        <w:bCs/>
                        <w:sz w:val="14"/>
                        <w:szCs w:val="14"/>
                      </w:rPr>
                      <w:t>greenpeace</w:t>
                    </w:r>
                    <w:proofErr w:type="spellEnd"/>
                    <w:r w:rsidRPr="00E550D2">
                      <w:rPr>
                        <w:rFonts w:ascii="Arial" w:hAnsi="Arial" w:cs="Arial"/>
                        <w:b/>
                        <w:bCs/>
                        <w:sz w:val="14"/>
                        <w:szCs w:val="14"/>
                      </w:rPr>
                      <w:t xml:space="preserve"> international</w:t>
                    </w:r>
                    <w:r>
                      <w:rPr>
                        <w:rFonts w:ascii="Arial" w:hAnsi="Arial" w:cs="Arial"/>
                        <w:b/>
                        <w:bCs/>
                        <w:sz w:val="14"/>
                        <w:szCs w:val="14"/>
                      </w:rPr>
                      <w:br/>
                    </w:r>
                    <w:proofErr w:type="spellStart"/>
                    <w:r w:rsidRPr="00E550D2">
                      <w:rPr>
                        <w:rFonts w:ascii="Arial" w:hAnsi="Arial" w:cs="Arial"/>
                        <w:sz w:val="14"/>
                        <w:szCs w:val="14"/>
                        <w:lang w:val="nl-NL"/>
                      </w:rPr>
                      <w:t>Ottho</w:t>
                    </w:r>
                    <w:proofErr w:type="spellEnd"/>
                    <w:r w:rsidRPr="00E550D2">
                      <w:rPr>
                        <w:rFonts w:ascii="Arial" w:hAnsi="Arial" w:cs="Arial"/>
                        <w:sz w:val="14"/>
                        <w:szCs w:val="14"/>
                        <w:lang w:val="nl-NL"/>
                      </w:rPr>
                      <w:t xml:space="preserve"> Heldringstraat 5, 1066 AZ, Amsterdam, Netherlands</w:t>
                    </w:r>
                    <w:r>
                      <w:rPr>
                        <w:rFonts w:ascii="Arial" w:hAnsi="Arial" w:cs="Arial"/>
                        <w:sz w:val="14"/>
                        <w:szCs w:val="14"/>
                        <w:lang w:val="nl-NL"/>
                      </w:rPr>
                      <w:br/>
                    </w:r>
                    <w:r w:rsidRPr="00E550D2">
                      <w:rPr>
                        <w:rFonts w:ascii="Arial" w:hAnsi="Arial" w:cs="Arial"/>
                        <w:sz w:val="14"/>
                        <w:szCs w:val="14"/>
                      </w:rPr>
                      <w:t>t +31 20 718 2000  f +31 20 514 8151</w:t>
                    </w:r>
                    <w:r>
                      <w:rPr>
                        <w:rFonts w:ascii="Arial" w:hAnsi="Arial" w:cs="Arial"/>
                        <w:sz w:val="14"/>
                        <w:szCs w:val="14"/>
                      </w:rPr>
                      <w:br/>
                    </w:r>
                    <w:proofErr w:type="spellStart"/>
                    <w:r w:rsidRPr="00E550D2">
                      <w:rPr>
                        <w:rFonts w:ascii="Arial" w:hAnsi="Arial" w:cs="Arial"/>
                        <w:sz w:val="14"/>
                        <w:szCs w:val="14"/>
                      </w:rPr>
                      <w:t>k.v.k</w:t>
                    </w:r>
                    <w:proofErr w:type="spellEnd"/>
                    <w:r w:rsidRPr="00E550D2">
                      <w:rPr>
                        <w:rFonts w:ascii="Arial" w:hAnsi="Arial" w:cs="Arial"/>
                        <w:sz w:val="14"/>
                        <w:szCs w:val="14"/>
                      </w:rPr>
                      <w:t xml:space="preserve">. reg. 41200415 </w:t>
                    </w:r>
                    <w:proofErr w:type="spellStart"/>
                    <w:r w:rsidRPr="00E550D2">
                      <w:rPr>
                        <w:rFonts w:ascii="Arial" w:hAnsi="Arial" w:cs="Arial"/>
                        <w:sz w:val="14"/>
                        <w:szCs w:val="14"/>
                      </w:rPr>
                      <w:t>stichting</w:t>
                    </w:r>
                    <w:proofErr w:type="spellEnd"/>
                    <w:r w:rsidRPr="00E550D2">
                      <w:rPr>
                        <w:rFonts w:ascii="Arial" w:hAnsi="Arial" w:cs="Arial"/>
                        <w:sz w:val="14"/>
                        <w:szCs w:val="14"/>
                      </w:rPr>
                      <w:t xml:space="preserve"> </w:t>
                    </w:r>
                    <w:proofErr w:type="spellStart"/>
                    <w:r w:rsidRPr="00E550D2">
                      <w:rPr>
                        <w:rFonts w:ascii="Arial" w:hAnsi="Arial" w:cs="Arial"/>
                        <w:sz w:val="14"/>
                        <w:szCs w:val="14"/>
                      </w:rPr>
                      <w:t>greenpeace</w:t>
                    </w:r>
                    <w:proofErr w:type="spellEnd"/>
                    <w:r w:rsidRPr="00BA2593">
                      <w:rPr>
                        <w:rFonts w:ascii="Arial" w:hAnsi="Arial" w:cs="Arial"/>
                        <w:sz w:val="14"/>
                        <w:szCs w:val="14"/>
                      </w:rPr>
                      <w:t xml:space="preserve"> council</w:t>
                    </w:r>
                  </w:p>
                  <w:p w14:paraId="311313D9" w14:textId="039399AC" w:rsidR="00BA2593" w:rsidRPr="00BA2593" w:rsidRDefault="00BA2593" w:rsidP="00BA2593">
                    <w:pPr>
                      <w:rPr>
                        <w:rFonts w:ascii="Arial" w:hAnsi="Arial" w:cs="Arial"/>
                        <w:b/>
                        <w:bCs/>
                        <w:sz w:val="14"/>
                        <w:szCs w:val="14"/>
                      </w:rPr>
                    </w:pPr>
                    <w:r w:rsidRPr="00BA2593">
                      <w:rPr>
                        <w:rFonts w:ascii="Arial" w:hAnsi="Arial" w:cs="Arial"/>
                        <w:b/>
                        <w:bCs/>
                        <w:sz w:val="14"/>
                        <w:szCs w:val="14"/>
                      </w:rPr>
                      <w:t>www.greenpeace.org</w:t>
                    </w:r>
                  </w:p>
                  <w:p w14:paraId="238E0082" w14:textId="3091751A" w:rsidR="00BA2593" w:rsidRDefault="00BA2593">
                    <w:r>
                      <w:rPr>
                        <w:rFonts w:ascii="Arial" w:hAnsi="Arial" w:cs="Arial"/>
                        <w:b/>
                        <w:bCs/>
                        <w:sz w:val="14"/>
                        <w:szCs w:val="14"/>
                      </w:rPr>
                      <w:br/>
                    </w:r>
                  </w:p>
                </w:txbxContent>
              </v:textbox>
            </v:shape>
          </w:pict>
        </mc:Fallback>
      </mc:AlternateContent>
    </w:r>
    <w:r w:rsidR="00DD1228">
      <w:rPr>
        <w:noProof/>
        <w:sz w:val="20"/>
      </w:rPr>
      <w:object w:dxaOrig="1440" w:dyaOrig="1440" w14:anchorId="63004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53pt;margin-top:9.6pt;width:108pt;height:19.8pt;z-index:251663360;mso-wrap-edited:f;mso-width-percent:0;mso-height-percent:0;mso-position-horizontal-relative:text;mso-position-vertical-relative:text;mso-width-percent:0;mso-height-percent:0">
          <v:imagedata r:id="rId1" o:title=""/>
          <w10:wrap type="square"/>
        </v:shape>
        <o:OLEObject Type="Embed" ProgID="Word.Picture.8" ShapeID="_x0000_s2049" DrawAspect="Content" ObjectID="_1643802442" r:id="rId2"/>
      </w:object>
    </w:r>
    <w:r w:rsidR="00662A43">
      <w:rPr>
        <w:noProof/>
        <w:sz w:val="20"/>
      </w:rPr>
      <mc:AlternateContent>
        <mc:Choice Requires="wps">
          <w:drawing>
            <wp:anchor distT="0" distB="0" distL="114300" distR="114300" simplePos="0" relativeHeight="251662336" behindDoc="0" locked="0" layoutInCell="1" allowOverlap="1" wp14:anchorId="7B014AC4" wp14:editId="7B9E344A">
              <wp:simplePos x="0" y="0"/>
              <wp:positionH relativeFrom="column">
                <wp:posOffset>3429000</wp:posOffset>
              </wp:positionH>
              <wp:positionV relativeFrom="paragraph">
                <wp:posOffset>7620</wp:posOffset>
              </wp:positionV>
              <wp:extent cx="0" cy="571500"/>
              <wp:effectExtent l="0" t="0" r="2540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06134"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pt" to="270pt,4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"/>
          </w:pict>
        </mc:Fallback>
      </mc:AlternateContent>
    </w:r>
    <w:r w:rsidR="00662A43">
      <w:tab/>
    </w:r>
    <w:r w:rsidR="00662A43" w:rsidRPr="00BA2593">
      <w:rPr>
        <w:rFonts w:ascii="Arial" w:hAnsi="Arial" w:cs="Arial"/>
        <w:sz w:val="14"/>
        <w:szCs w:val="14"/>
        <w:lang w:val="nl-NL"/>
      </w:rPr>
      <w:tab/>
    </w:r>
    <w:r w:rsidR="00662A43" w:rsidRPr="00BA2593">
      <w:rPr>
        <w:rFonts w:ascii="Arial" w:hAnsi="Arial" w:cs="Arial"/>
        <w:sz w:val="14"/>
        <w:szCs w:val="14"/>
        <w:lang w:val="nl-NL"/>
      </w:rPr>
      <w:tab/>
    </w:r>
    <w:r w:rsidR="00662A43" w:rsidRPr="00BA2593">
      <w:rPr>
        <w:rFonts w:ascii="Arial" w:hAnsi="Arial" w:cs="Arial"/>
        <w:sz w:val="14"/>
        <w:szCs w:val="14"/>
        <w:lang w:val="nl-NL"/>
      </w:rPr>
      <w:tab/>
    </w:r>
  </w:p>
  <w:p w14:paraId="05CB0F5C" w14:textId="5C32E2CF" w:rsidR="00662A43" w:rsidRPr="00E550D2" w:rsidRDefault="00662A43" w:rsidP="00BA2593">
    <w:pPr>
      <w:tabs>
        <w:tab w:val="left" w:pos="5529"/>
      </w:tabs>
      <w:ind w:left="4320" w:right="-914" w:firstLine="720"/>
      <w:rPr>
        <w:rFonts w:ascii="Arial" w:hAnsi="Arial" w:cs="Arial"/>
        <w:b/>
        <w:bCs/>
        <w:sz w:val="14"/>
        <w:szCs w:val="14"/>
      </w:rPr>
    </w:pPr>
    <w:r w:rsidRPr="00BA2593">
      <w:rPr>
        <w:rFonts w:ascii="Arial" w:hAnsi="Arial" w:cs="Arial"/>
        <w:sz w:val="14"/>
        <w:szCs w:val="14"/>
        <w:lang w:val="nl-NL"/>
      </w:rPr>
      <w:tab/>
    </w:r>
  </w:p>
  <w:p w14:paraId="5A190207" w14:textId="4BDA526A" w:rsidR="00662A43" w:rsidRPr="00E550D2" w:rsidRDefault="00BA2593" w:rsidP="00BA2593">
    <w:pPr>
      <w:tabs>
        <w:tab w:val="left" w:pos="5529"/>
      </w:tabs>
      <w:ind w:left="1440" w:right="-914" w:firstLine="720"/>
      <w:rPr>
        <w:rFonts w:ascii="Arial" w:hAnsi="Arial" w:cs="Arial"/>
        <w:sz w:val="14"/>
        <w:szCs w:val="14"/>
      </w:rPr>
    </w:pPr>
    <w:r>
      <w:rPr>
        <w:rFonts w:ascii="Arial" w:hAnsi="Arial" w:cs="Arial"/>
        <w:sz w:val="14"/>
        <w:szCs w:val="14"/>
        <w:lang w:val="nl-NL"/>
      </w:rPr>
      <w:tab/>
    </w:r>
  </w:p>
  <w:p w14:paraId="35AFD000" w14:textId="51FE8F98" w:rsidR="00662A43" w:rsidRPr="00E550D2" w:rsidRDefault="00662A43" w:rsidP="00BA2593">
    <w:pPr>
      <w:tabs>
        <w:tab w:val="left" w:pos="5529"/>
      </w:tabs>
      <w:ind w:left="1440" w:right="-914" w:firstLine="720"/>
      <w:rPr>
        <w:rFonts w:ascii="Arial" w:hAnsi="Arial" w:cs="Arial"/>
        <w:b/>
        <w:bCs/>
        <w:sz w:val="14"/>
        <w:szCs w:val="14"/>
      </w:rPr>
    </w:pPr>
    <w:r>
      <w:rPr>
        <w:rFonts w:ascii="Arial" w:hAnsi="Arial" w:cs="Arial"/>
        <w:sz w:val="14"/>
        <w:szCs w:val="14"/>
      </w:rPr>
      <w:tab/>
    </w:r>
  </w:p>
  <w:p w14:paraId="34CB6C2A" w14:textId="63053236" w:rsidR="00662A43" w:rsidRDefault="00662A43" w:rsidP="009D2324">
    <w:pPr>
      <w:pStyle w:val="Header"/>
    </w:pPr>
  </w:p>
  <w:p w14:paraId="02AA8686" w14:textId="656B6EC8" w:rsidR="00662A43" w:rsidRDefault="00662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E79DA"/>
    <w:multiLevelType w:val="hybridMultilevel"/>
    <w:tmpl w:val="5EEAC90E"/>
    <w:lvl w:ilvl="0" w:tplc="E82C87E8">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41C51"/>
    <w:multiLevelType w:val="hybridMultilevel"/>
    <w:tmpl w:val="5A107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5224B"/>
    <w:multiLevelType w:val="hybridMultilevel"/>
    <w:tmpl w:val="A8A2CDEA"/>
    <w:styleLink w:val="ImportedStyle3"/>
    <w:lvl w:ilvl="0" w:tplc="0568D52A">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10FFF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B89B08">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8F3D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0CAF2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82F1E2">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5218C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D42D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76CF5C">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4DB4647"/>
    <w:multiLevelType w:val="hybridMultilevel"/>
    <w:tmpl w:val="A8A2CDEA"/>
    <w:numStyleLink w:val="ImportedStyle3"/>
  </w:abstractNum>
  <w:abstractNum w:abstractNumId="4" w15:restartNumberingAfterBreak="0">
    <w:nsid w:val="4A5B4E39"/>
    <w:multiLevelType w:val="hybridMultilevel"/>
    <w:tmpl w:val="53403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D2BAF"/>
    <w:multiLevelType w:val="hybridMultilevel"/>
    <w:tmpl w:val="13620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9D"/>
    <w:rsid w:val="00006D54"/>
    <w:rsid w:val="000074E7"/>
    <w:rsid w:val="00011ED8"/>
    <w:rsid w:val="00012BEA"/>
    <w:rsid w:val="00013734"/>
    <w:rsid w:val="00014E16"/>
    <w:rsid w:val="00020350"/>
    <w:rsid w:val="000216C0"/>
    <w:rsid w:val="00031817"/>
    <w:rsid w:val="00035406"/>
    <w:rsid w:val="0003609F"/>
    <w:rsid w:val="00036970"/>
    <w:rsid w:val="000370E9"/>
    <w:rsid w:val="000375AF"/>
    <w:rsid w:val="00037AEB"/>
    <w:rsid w:val="0004170C"/>
    <w:rsid w:val="000429E9"/>
    <w:rsid w:val="000431E1"/>
    <w:rsid w:val="000475EA"/>
    <w:rsid w:val="00050EE6"/>
    <w:rsid w:val="00053B16"/>
    <w:rsid w:val="00053EBF"/>
    <w:rsid w:val="00055134"/>
    <w:rsid w:val="000639AB"/>
    <w:rsid w:val="0006658B"/>
    <w:rsid w:val="00067CAD"/>
    <w:rsid w:val="00070F77"/>
    <w:rsid w:val="000716EE"/>
    <w:rsid w:val="00072D37"/>
    <w:rsid w:val="000763BE"/>
    <w:rsid w:val="000769C7"/>
    <w:rsid w:val="00080D37"/>
    <w:rsid w:val="000842C6"/>
    <w:rsid w:val="0008520E"/>
    <w:rsid w:val="00086AD9"/>
    <w:rsid w:val="0008734E"/>
    <w:rsid w:val="00087F82"/>
    <w:rsid w:val="00090DD2"/>
    <w:rsid w:val="00091F48"/>
    <w:rsid w:val="0009341B"/>
    <w:rsid w:val="00095941"/>
    <w:rsid w:val="00095E7D"/>
    <w:rsid w:val="0009717A"/>
    <w:rsid w:val="000A0339"/>
    <w:rsid w:val="000A06D4"/>
    <w:rsid w:val="000A3A06"/>
    <w:rsid w:val="000A574D"/>
    <w:rsid w:val="000A7371"/>
    <w:rsid w:val="000B1122"/>
    <w:rsid w:val="000B43A5"/>
    <w:rsid w:val="000B44EA"/>
    <w:rsid w:val="000B467C"/>
    <w:rsid w:val="000C1D17"/>
    <w:rsid w:val="000C2E56"/>
    <w:rsid w:val="000C336F"/>
    <w:rsid w:val="000C40FC"/>
    <w:rsid w:val="000C4F47"/>
    <w:rsid w:val="000C645C"/>
    <w:rsid w:val="000C7C3D"/>
    <w:rsid w:val="000C7E64"/>
    <w:rsid w:val="000D1761"/>
    <w:rsid w:val="000D359D"/>
    <w:rsid w:val="000D3D67"/>
    <w:rsid w:val="000D3DA6"/>
    <w:rsid w:val="000D569E"/>
    <w:rsid w:val="000D6CA4"/>
    <w:rsid w:val="000D6E65"/>
    <w:rsid w:val="000D74F1"/>
    <w:rsid w:val="000D7B7A"/>
    <w:rsid w:val="000E07D6"/>
    <w:rsid w:val="000E11BF"/>
    <w:rsid w:val="000E307A"/>
    <w:rsid w:val="000E42E3"/>
    <w:rsid w:val="000E521F"/>
    <w:rsid w:val="000E5B17"/>
    <w:rsid w:val="000E6E31"/>
    <w:rsid w:val="000F0146"/>
    <w:rsid w:val="000F3286"/>
    <w:rsid w:val="000F672A"/>
    <w:rsid w:val="000F6C8F"/>
    <w:rsid w:val="000F7578"/>
    <w:rsid w:val="000F7715"/>
    <w:rsid w:val="00100DE7"/>
    <w:rsid w:val="00105078"/>
    <w:rsid w:val="0011182E"/>
    <w:rsid w:val="0012167B"/>
    <w:rsid w:val="00121B40"/>
    <w:rsid w:val="00124854"/>
    <w:rsid w:val="00125584"/>
    <w:rsid w:val="001260AB"/>
    <w:rsid w:val="00127E24"/>
    <w:rsid w:val="00133340"/>
    <w:rsid w:val="00136EC1"/>
    <w:rsid w:val="001378F6"/>
    <w:rsid w:val="00142495"/>
    <w:rsid w:val="0014480E"/>
    <w:rsid w:val="00147A37"/>
    <w:rsid w:val="00150E2D"/>
    <w:rsid w:val="0015694B"/>
    <w:rsid w:val="00156E17"/>
    <w:rsid w:val="0016539B"/>
    <w:rsid w:val="001658E3"/>
    <w:rsid w:val="00170016"/>
    <w:rsid w:val="00173C5C"/>
    <w:rsid w:val="001823BB"/>
    <w:rsid w:val="00183BA3"/>
    <w:rsid w:val="00184543"/>
    <w:rsid w:val="00187589"/>
    <w:rsid w:val="00190186"/>
    <w:rsid w:val="0019150C"/>
    <w:rsid w:val="001925D0"/>
    <w:rsid w:val="00193628"/>
    <w:rsid w:val="001939D1"/>
    <w:rsid w:val="001A0D45"/>
    <w:rsid w:val="001A2139"/>
    <w:rsid w:val="001A7E1F"/>
    <w:rsid w:val="001B0FCE"/>
    <w:rsid w:val="001B233C"/>
    <w:rsid w:val="001B37B6"/>
    <w:rsid w:val="001B5072"/>
    <w:rsid w:val="001B6E9B"/>
    <w:rsid w:val="001B6F72"/>
    <w:rsid w:val="001C0772"/>
    <w:rsid w:val="001C2002"/>
    <w:rsid w:val="001C5140"/>
    <w:rsid w:val="001D565D"/>
    <w:rsid w:val="001D589E"/>
    <w:rsid w:val="001E235B"/>
    <w:rsid w:val="001E3578"/>
    <w:rsid w:val="001E3FBC"/>
    <w:rsid w:val="001E428E"/>
    <w:rsid w:val="001F0977"/>
    <w:rsid w:val="001F163B"/>
    <w:rsid w:val="001F38EB"/>
    <w:rsid w:val="001F3FE7"/>
    <w:rsid w:val="002041D3"/>
    <w:rsid w:val="00206D54"/>
    <w:rsid w:val="00207F93"/>
    <w:rsid w:val="00212858"/>
    <w:rsid w:val="00212ED3"/>
    <w:rsid w:val="00215526"/>
    <w:rsid w:val="002160CB"/>
    <w:rsid w:val="0021698D"/>
    <w:rsid w:val="00217063"/>
    <w:rsid w:val="00223EEC"/>
    <w:rsid w:val="00230AEB"/>
    <w:rsid w:val="002332B4"/>
    <w:rsid w:val="002335F1"/>
    <w:rsid w:val="00234EE5"/>
    <w:rsid w:val="002352B6"/>
    <w:rsid w:val="00237823"/>
    <w:rsid w:val="0024366C"/>
    <w:rsid w:val="0024595A"/>
    <w:rsid w:val="00250577"/>
    <w:rsid w:val="00250976"/>
    <w:rsid w:val="00252F12"/>
    <w:rsid w:val="00254FD9"/>
    <w:rsid w:val="0025625E"/>
    <w:rsid w:val="00257475"/>
    <w:rsid w:val="00262A96"/>
    <w:rsid w:val="0026312E"/>
    <w:rsid w:val="00263302"/>
    <w:rsid w:val="002649BC"/>
    <w:rsid w:val="00265102"/>
    <w:rsid w:val="00265A51"/>
    <w:rsid w:val="002670FA"/>
    <w:rsid w:val="0027080E"/>
    <w:rsid w:val="00276B61"/>
    <w:rsid w:val="00276D41"/>
    <w:rsid w:val="00276EA4"/>
    <w:rsid w:val="00276FB7"/>
    <w:rsid w:val="0028368D"/>
    <w:rsid w:val="00286308"/>
    <w:rsid w:val="002913DA"/>
    <w:rsid w:val="00291A32"/>
    <w:rsid w:val="00291A84"/>
    <w:rsid w:val="002934F7"/>
    <w:rsid w:val="00294913"/>
    <w:rsid w:val="002975DD"/>
    <w:rsid w:val="002A2044"/>
    <w:rsid w:val="002A2B97"/>
    <w:rsid w:val="002A2CDD"/>
    <w:rsid w:val="002A3A4F"/>
    <w:rsid w:val="002A3F2F"/>
    <w:rsid w:val="002A5058"/>
    <w:rsid w:val="002B4F29"/>
    <w:rsid w:val="002B7AE1"/>
    <w:rsid w:val="002C03F5"/>
    <w:rsid w:val="002C2DE0"/>
    <w:rsid w:val="002C311D"/>
    <w:rsid w:val="002C63F3"/>
    <w:rsid w:val="002C75EB"/>
    <w:rsid w:val="002D0265"/>
    <w:rsid w:val="002D47A6"/>
    <w:rsid w:val="002D54C7"/>
    <w:rsid w:val="002D5F9D"/>
    <w:rsid w:val="002E1113"/>
    <w:rsid w:val="002E2436"/>
    <w:rsid w:val="002E27EC"/>
    <w:rsid w:val="002E308E"/>
    <w:rsid w:val="002E3801"/>
    <w:rsid w:val="002E5B1D"/>
    <w:rsid w:val="002E6565"/>
    <w:rsid w:val="002E6713"/>
    <w:rsid w:val="002F09D8"/>
    <w:rsid w:val="002F2D02"/>
    <w:rsid w:val="002F40C2"/>
    <w:rsid w:val="002F544C"/>
    <w:rsid w:val="002F65DB"/>
    <w:rsid w:val="002F7ECD"/>
    <w:rsid w:val="00302103"/>
    <w:rsid w:val="00303B08"/>
    <w:rsid w:val="003070C6"/>
    <w:rsid w:val="00312846"/>
    <w:rsid w:val="00317384"/>
    <w:rsid w:val="00320265"/>
    <w:rsid w:val="00340239"/>
    <w:rsid w:val="00340904"/>
    <w:rsid w:val="00341A1F"/>
    <w:rsid w:val="00347849"/>
    <w:rsid w:val="0034794E"/>
    <w:rsid w:val="00350D7D"/>
    <w:rsid w:val="0035178A"/>
    <w:rsid w:val="00353583"/>
    <w:rsid w:val="00355328"/>
    <w:rsid w:val="0035600A"/>
    <w:rsid w:val="00361B1B"/>
    <w:rsid w:val="0036231B"/>
    <w:rsid w:val="00362489"/>
    <w:rsid w:val="00363A2F"/>
    <w:rsid w:val="00363E87"/>
    <w:rsid w:val="00363F6F"/>
    <w:rsid w:val="00365268"/>
    <w:rsid w:val="003674FC"/>
    <w:rsid w:val="00370CA2"/>
    <w:rsid w:val="00372B13"/>
    <w:rsid w:val="00375480"/>
    <w:rsid w:val="00375747"/>
    <w:rsid w:val="00376C59"/>
    <w:rsid w:val="00377D77"/>
    <w:rsid w:val="00382067"/>
    <w:rsid w:val="00385180"/>
    <w:rsid w:val="00385F87"/>
    <w:rsid w:val="0038679C"/>
    <w:rsid w:val="00390147"/>
    <w:rsid w:val="00390473"/>
    <w:rsid w:val="00394C77"/>
    <w:rsid w:val="003A0785"/>
    <w:rsid w:val="003A24C2"/>
    <w:rsid w:val="003A59CD"/>
    <w:rsid w:val="003A617C"/>
    <w:rsid w:val="003A675F"/>
    <w:rsid w:val="003A7486"/>
    <w:rsid w:val="003B03F5"/>
    <w:rsid w:val="003B161E"/>
    <w:rsid w:val="003B271E"/>
    <w:rsid w:val="003B502C"/>
    <w:rsid w:val="003C03FC"/>
    <w:rsid w:val="003C0F6F"/>
    <w:rsid w:val="003C1003"/>
    <w:rsid w:val="003C1168"/>
    <w:rsid w:val="003C3BA3"/>
    <w:rsid w:val="003C4117"/>
    <w:rsid w:val="003C5733"/>
    <w:rsid w:val="003C6400"/>
    <w:rsid w:val="003C68CB"/>
    <w:rsid w:val="003C7FB4"/>
    <w:rsid w:val="003D0F28"/>
    <w:rsid w:val="003D3912"/>
    <w:rsid w:val="003D5D76"/>
    <w:rsid w:val="003D61A0"/>
    <w:rsid w:val="003D6813"/>
    <w:rsid w:val="003E4C27"/>
    <w:rsid w:val="003E52AC"/>
    <w:rsid w:val="003E541C"/>
    <w:rsid w:val="003E5D31"/>
    <w:rsid w:val="003E7757"/>
    <w:rsid w:val="003E7A60"/>
    <w:rsid w:val="003E7F5F"/>
    <w:rsid w:val="003F0E1E"/>
    <w:rsid w:val="003F12D3"/>
    <w:rsid w:val="003F2F8D"/>
    <w:rsid w:val="003F36C4"/>
    <w:rsid w:val="003F3C2C"/>
    <w:rsid w:val="003F69DD"/>
    <w:rsid w:val="003F76DE"/>
    <w:rsid w:val="00400B28"/>
    <w:rsid w:val="00403B74"/>
    <w:rsid w:val="00406102"/>
    <w:rsid w:val="00406282"/>
    <w:rsid w:val="00412FC4"/>
    <w:rsid w:val="004140BE"/>
    <w:rsid w:val="00415B42"/>
    <w:rsid w:val="00415BF3"/>
    <w:rsid w:val="00415FFA"/>
    <w:rsid w:val="00417045"/>
    <w:rsid w:val="00422D0F"/>
    <w:rsid w:val="00423CC6"/>
    <w:rsid w:val="00426538"/>
    <w:rsid w:val="00430E07"/>
    <w:rsid w:val="00433A01"/>
    <w:rsid w:val="004341F2"/>
    <w:rsid w:val="004354E2"/>
    <w:rsid w:val="004357E8"/>
    <w:rsid w:val="004360D4"/>
    <w:rsid w:val="004433E1"/>
    <w:rsid w:val="00444D70"/>
    <w:rsid w:val="00444DE9"/>
    <w:rsid w:val="004463F3"/>
    <w:rsid w:val="00450655"/>
    <w:rsid w:val="0045144D"/>
    <w:rsid w:val="00452379"/>
    <w:rsid w:val="00452DE5"/>
    <w:rsid w:val="00454988"/>
    <w:rsid w:val="00455DDE"/>
    <w:rsid w:val="0045684D"/>
    <w:rsid w:val="004574B0"/>
    <w:rsid w:val="00457510"/>
    <w:rsid w:val="0046075F"/>
    <w:rsid w:val="00464BA4"/>
    <w:rsid w:val="004714EF"/>
    <w:rsid w:val="00474BB5"/>
    <w:rsid w:val="00474E45"/>
    <w:rsid w:val="0047534E"/>
    <w:rsid w:val="00476264"/>
    <w:rsid w:val="004767DC"/>
    <w:rsid w:val="00477277"/>
    <w:rsid w:val="00480B06"/>
    <w:rsid w:val="0048272E"/>
    <w:rsid w:val="00482944"/>
    <w:rsid w:val="00484B4B"/>
    <w:rsid w:val="00485B55"/>
    <w:rsid w:val="004861DE"/>
    <w:rsid w:val="004863C0"/>
    <w:rsid w:val="00486981"/>
    <w:rsid w:val="004877F1"/>
    <w:rsid w:val="00492992"/>
    <w:rsid w:val="004940DF"/>
    <w:rsid w:val="00495A47"/>
    <w:rsid w:val="004969AC"/>
    <w:rsid w:val="00496CBC"/>
    <w:rsid w:val="004972AA"/>
    <w:rsid w:val="004A059F"/>
    <w:rsid w:val="004B1527"/>
    <w:rsid w:val="004B18A8"/>
    <w:rsid w:val="004C0406"/>
    <w:rsid w:val="004C0864"/>
    <w:rsid w:val="004C1088"/>
    <w:rsid w:val="004C1B49"/>
    <w:rsid w:val="004C25C4"/>
    <w:rsid w:val="004C6E89"/>
    <w:rsid w:val="004D030A"/>
    <w:rsid w:val="004D1696"/>
    <w:rsid w:val="004D3924"/>
    <w:rsid w:val="004D4970"/>
    <w:rsid w:val="004E4964"/>
    <w:rsid w:val="004E4D08"/>
    <w:rsid w:val="004E5F56"/>
    <w:rsid w:val="004E6710"/>
    <w:rsid w:val="004E706B"/>
    <w:rsid w:val="004F1A88"/>
    <w:rsid w:val="004F1FB7"/>
    <w:rsid w:val="004F47F2"/>
    <w:rsid w:val="00505160"/>
    <w:rsid w:val="0050616E"/>
    <w:rsid w:val="00506CFC"/>
    <w:rsid w:val="00506D77"/>
    <w:rsid w:val="005071F1"/>
    <w:rsid w:val="00510643"/>
    <w:rsid w:val="00514213"/>
    <w:rsid w:val="00516C58"/>
    <w:rsid w:val="00517585"/>
    <w:rsid w:val="0051798D"/>
    <w:rsid w:val="005201FC"/>
    <w:rsid w:val="0052349F"/>
    <w:rsid w:val="0052394C"/>
    <w:rsid w:val="0052522A"/>
    <w:rsid w:val="0053242A"/>
    <w:rsid w:val="0053564E"/>
    <w:rsid w:val="00536DDF"/>
    <w:rsid w:val="0054106F"/>
    <w:rsid w:val="00543494"/>
    <w:rsid w:val="00546C0E"/>
    <w:rsid w:val="005475EF"/>
    <w:rsid w:val="00552974"/>
    <w:rsid w:val="00553DD8"/>
    <w:rsid w:val="005551D3"/>
    <w:rsid w:val="0055620C"/>
    <w:rsid w:val="00556B82"/>
    <w:rsid w:val="0056000C"/>
    <w:rsid w:val="005608B6"/>
    <w:rsid w:val="00561373"/>
    <w:rsid w:val="00563353"/>
    <w:rsid w:val="00563617"/>
    <w:rsid w:val="005666E9"/>
    <w:rsid w:val="00566B23"/>
    <w:rsid w:val="00567C01"/>
    <w:rsid w:val="00572A42"/>
    <w:rsid w:val="0057338C"/>
    <w:rsid w:val="005776A3"/>
    <w:rsid w:val="00580061"/>
    <w:rsid w:val="005805D9"/>
    <w:rsid w:val="0058133B"/>
    <w:rsid w:val="005846E0"/>
    <w:rsid w:val="005867D8"/>
    <w:rsid w:val="00587A11"/>
    <w:rsid w:val="00591CF0"/>
    <w:rsid w:val="00594EDD"/>
    <w:rsid w:val="00594F23"/>
    <w:rsid w:val="00596009"/>
    <w:rsid w:val="005A092E"/>
    <w:rsid w:val="005A341C"/>
    <w:rsid w:val="005A4BF8"/>
    <w:rsid w:val="005A4D51"/>
    <w:rsid w:val="005A4FB3"/>
    <w:rsid w:val="005A5313"/>
    <w:rsid w:val="005B4386"/>
    <w:rsid w:val="005B5DAC"/>
    <w:rsid w:val="005C284E"/>
    <w:rsid w:val="005C45FB"/>
    <w:rsid w:val="005C7202"/>
    <w:rsid w:val="005C7532"/>
    <w:rsid w:val="005D3D58"/>
    <w:rsid w:val="005D46E8"/>
    <w:rsid w:val="005E1DA7"/>
    <w:rsid w:val="005E4018"/>
    <w:rsid w:val="005E7C5D"/>
    <w:rsid w:val="005F0422"/>
    <w:rsid w:val="005F0B70"/>
    <w:rsid w:val="005F128F"/>
    <w:rsid w:val="005F1511"/>
    <w:rsid w:val="005F1760"/>
    <w:rsid w:val="005F1F8D"/>
    <w:rsid w:val="005F47D0"/>
    <w:rsid w:val="005F71C1"/>
    <w:rsid w:val="00600516"/>
    <w:rsid w:val="006034C1"/>
    <w:rsid w:val="00604329"/>
    <w:rsid w:val="006065A3"/>
    <w:rsid w:val="00607316"/>
    <w:rsid w:val="0061126F"/>
    <w:rsid w:val="00611911"/>
    <w:rsid w:val="006153A9"/>
    <w:rsid w:val="00616D6E"/>
    <w:rsid w:val="0061759E"/>
    <w:rsid w:val="0062083C"/>
    <w:rsid w:val="00626149"/>
    <w:rsid w:val="006266C4"/>
    <w:rsid w:val="006270A6"/>
    <w:rsid w:val="006324AC"/>
    <w:rsid w:val="00636099"/>
    <w:rsid w:val="00637F34"/>
    <w:rsid w:val="0064188A"/>
    <w:rsid w:val="00642057"/>
    <w:rsid w:val="0064280D"/>
    <w:rsid w:val="00644231"/>
    <w:rsid w:val="00645041"/>
    <w:rsid w:val="006455FE"/>
    <w:rsid w:val="00647016"/>
    <w:rsid w:val="00647F37"/>
    <w:rsid w:val="00650FC1"/>
    <w:rsid w:val="00651E60"/>
    <w:rsid w:val="00652733"/>
    <w:rsid w:val="00653344"/>
    <w:rsid w:val="00655BE8"/>
    <w:rsid w:val="00656359"/>
    <w:rsid w:val="00662816"/>
    <w:rsid w:val="00662A43"/>
    <w:rsid w:val="00662EF9"/>
    <w:rsid w:val="006634DA"/>
    <w:rsid w:val="00664C79"/>
    <w:rsid w:val="00666787"/>
    <w:rsid w:val="00667310"/>
    <w:rsid w:val="00670D11"/>
    <w:rsid w:val="00671681"/>
    <w:rsid w:val="006778C3"/>
    <w:rsid w:val="00681262"/>
    <w:rsid w:val="00681785"/>
    <w:rsid w:val="00681BB7"/>
    <w:rsid w:val="00683C17"/>
    <w:rsid w:val="006918FC"/>
    <w:rsid w:val="0069411D"/>
    <w:rsid w:val="00697B88"/>
    <w:rsid w:val="006A0D76"/>
    <w:rsid w:val="006A6D7F"/>
    <w:rsid w:val="006B64D5"/>
    <w:rsid w:val="006B7A4E"/>
    <w:rsid w:val="006C066D"/>
    <w:rsid w:val="006C19C9"/>
    <w:rsid w:val="006C1D41"/>
    <w:rsid w:val="006C390D"/>
    <w:rsid w:val="006D07D0"/>
    <w:rsid w:val="006D0F0B"/>
    <w:rsid w:val="006D6484"/>
    <w:rsid w:val="006E1AD8"/>
    <w:rsid w:val="006E4910"/>
    <w:rsid w:val="006E552B"/>
    <w:rsid w:val="006E74CC"/>
    <w:rsid w:val="006F091D"/>
    <w:rsid w:val="006F0C1B"/>
    <w:rsid w:val="006F0E53"/>
    <w:rsid w:val="006F3A8B"/>
    <w:rsid w:val="006F48E9"/>
    <w:rsid w:val="006F702B"/>
    <w:rsid w:val="006F7D76"/>
    <w:rsid w:val="00701237"/>
    <w:rsid w:val="00702F36"/>
    <w:rsid w:val="00710B36"/>
    <w:rsid w:val="00711A72"/>
    <w:rsid w:val="0071256E"/>
    <w:rsid w:val="007135F7"/>
    <w:rsid w:val="007136D2"/>
    <w:rsid w:val="0072049D"/>
    <w:rsid w:val="00721091"/>
    <w:rsid w:val="00722ABF"/>
    <w:rsid w:val="0072347F"/>
    <w:rsid w:val="007238DE"/>
    <w:rsid w:val="0072454D"/>
    <w:rsid w:val="00724A8C"/>
    <w:rsid w:val="00725776"/>
    <w:rsid w:val="0073064D"/>
    <w:rsid w:val="00732D23"/>
    <w:rsid w:val="00735D60"/>
    <w:rsid w:val="00740DAB"/>
    <w:rsid w:val="00745B97"/>
    <w:rsid w:val="00745C06"/>
    <w:rsid w:val="00746ED3"/>
    <w:rsid w:val="007502ED"/>
    <w:rsid w:val="007538F7"/>
    <w:rsid w:val="00753C88"/>
    <w:rsid w:val="00755DDD"/>
    <w:rsid w:val="00756D92"/>
    <w:rsid w:val="007610B4"/>
    <w:rsid w:val="007611FE"/>
    <w:rsid w:val="0076301D"/>
    <w:rsid w:val="007662A6"/>
    <w:rsid w:val="00766A15"/>
    <w:rsid w:val="00767A56"/>
    <w:rsid w:val="00775E07"/>
    <w:rsid w:val="0078230F"/>
    <w:rsid w:val="00784377"/>
    <w:rsid w:val="007869A7"/>
    <w:rsid w:val="00791744"/>
    <w:rsid w:val="007944F6"/>
    <w:rsid w:val="00794D0E"/>
    <w:rsid w:val="00795DB2"/>
    <w:rsid w:val="0079667F"/>
    <w:rsid w:val="007A346E"/>
    <w:rsid w:val="007B09AA"/>
    <w:rsid w:val="007B1680"/>
    <w:rsid w:val="007B1E6A"/>
    <w:rsid w:val="007B6A04"/>
    <w:rsid w:val="007C3327"/>
    <w:rsid w:val="007C4C4E"/>
    <w:rsid w:val="007C60FD"/>
    <w:rsid w:val="007D033E"/>
    <w:rsid w:val="007D132B"/>
    <w:rsid w:val="007D1A97"/>
    <w:rsid w:val="007D49F3"/>
    <w:rsid w:val="007D507D"/>
    <w:rsid w:val="007D6851"/>
    <w:rsid w:val="007E1120"/>
    <w:rsid w:val="007E6755"/>
    <w:rsid w:val="007E7A6E"/>
    <w:rsid w:val="007F000B"/>
    <w:rsid w:val="007F127E"/>
    <w:rsid w:val="007F12B4"/>
    <w:rsid w:val="007F2069"/>
    <w:rsid w:val="007F28D0"/>
    <w:rsid w:val="007F2B14"/>
    <w:rsid w:val="007F5EE2"/>
    <w:rsid w:val="007F6DAF"/>
    <w:rsid w:val="00805779"/>
    <w:rsid w:val="0080617F"/>
    <w:rsid w:val="00807A04"/>
    <w:rsid w:val="00811024"/>
    <w:rsid w:val="00811E5B"/>
    <w:rsid w:val="00812894"/>
    <w:rsid w:val="0081734C"/>
    <w:rsid w:val="00817BD0"/>
    <w:rsid w:val="00820473"/>
    <w:rsid w:val="00821DCB"/>
    <w:rsid w:val="00822A9B"/>
    <w:rsid w:val="00826465"/>
    <w:rsid w:val="008277D0"/>
    <w:rsid w:val="00832316"/>
    <w:rsid w:val="00834CF9"/>
    <w:rsid w:val="00835AF8"/>
    <w:rsid w:val="00840420"/>
    <w:rsid w:val="00846A3F"/>
    <w:rsid w:val="00850C13"/>
    <w:rsid w:val="00851BA4"/>
    <w:rsid w:val="0085587C"/>
    <w:rsid w:val="00861298"/>
    <w:rsid w:val="00861400"/>
    <w:rsid w:val="00865664"/>
    <w:rsid w:val="00865A16"/>
    <w:rsid w:val="00867EEF"/>
    <w:rsid w:val="008705D7"/>
    <w:rsid w:val="00870873"/>
    <w:rsid w:val="00872567"/>
    <w:rsid w:val="00873287"/>
    <w:rsid w:val="00880549"/>
    <w:rsid w:val="008808D9"/>
    <w:rsid w:val="0088135D"/>
    <w:rsid w:val="008824B2"/>
    <w:rsid w:val="0088397B"/>
    <w:rsid w:val="00883E9D"/>
    <w:rsid w:val="008857CA"/>
    <w:rsid w:val="0088757B"/>
    <w:rsid w:val="00887DE3"/>
    <w:rsid w:val="00891CAB"/>
    <w:rsid w:val="00893A05"/>
    <w:rsid w:val="00894E95"/>
    <w:rsid w:val="008A003B"/>
    <w:rsid w:val="008A2196"/>
    <w:rsid w:val="008A6327"/>
    <w:rsid w:val="008A77EA"/>
    <w:rsid w:val="008B04E9"/>
    <w:rsid w:val="008B2B49"/>
    <w:rsid w:val="008B648C"/>
    <w:rsid w:val="008B7AF1"/>
    <w:rsid w:val="008C1633"/>
    <w:rsid w:val="008C36E6"/>
    <w:rsid w:val="008C4A1F"/>
    <w:rsid w:val="008D135D"/>
    <w:rsid w:val="008D3B2C"/>
    <w:rsid w:val="008D4ED3"/>
    <w:rsid w:val="008D6D33"/>
    <w:rsid w:val="008D6F44"/>
    <w:rsid w:val="008E2D97"/>
    <w:rsid w:val="008E3FE6"/>
    <w:rsid w:val="008E505D"/>
    <w:rsid w:val="008E51EF"/>
    <w:rsid w:val="008E706F"/>
    <w:rsid w:val="008E7B30"/>
    <w:rsid w:val="008E7F19"/>
    <w:rsid w:val="008F2552"/>
    <w:rsid w:val="008F6888"/>
    <w:rsid w:val="00900224"/>
    <w:rsid w:val="00902079"/>
    <w:rsid w:val="00903B79"/>
    <w:rsid w:val="00905734"/>
    <w:rsid w:val="00907682"/>
    <w:rsid w:val="0091078F"/>
    <w:rsid w:val="00913B2E"/>
    <w:rsid w:val="00914398"/>
    <w:rsid w:val="00916756"/>
    <w:rsid w:val="00921149"/>
    <w:rsid w:val="009214C8"/>
    <w:rsid w:val="009227C5"/>
    <w:rsid w:val="00927385"/>
    <w:rsid w:val="00927647"/>
    <w:rsid w:val="0093098B"/>
    <w:rsid w:val="00930DBD"/>
    <w:rsid w:val="009333F2"/>
    <w:rsid w:val="009356BA"/>
    <w:rsid w:val="009423FF"/>
    <w:rsid w:val="00944379"/>
    <w:rsid w:val="00947432"/>
    <w:rsid w:val="00947ECC"/>
    <w:rsid w:val="00954A70"/>
    <w:rsid w:val="0095560A"/>
    <w:rsid w:val="00956955"/>
    <w:rsid w:val="00963474"/>
    <w:rsid w:val="00973450"/>
    <w:rsid w:val="00973944"/>
    <w:rsid w:val="00974178"/>
    <w:rsid w:val="00975FDD"/>
    <w:rsid w:val="00982265"/>
    <w:rsid w:val="00982697"/>
    <w:rsid w:val="009835F2"/>
    <w:rsid w:val="00987E4C"/>
    <w:rsid w:val="00991F30"/>
    <w:rsid w:val="009A254F"/>
    <w:rsid w:val="009A7446"/>
    <w:rsid w:val="009B0152"/>
    <w:rsid w:val="009B371D"/>
    <w:rsid w:val="009B4153"/>
    <w:rsid w:val="009B48F3"/>
    <w:rsid w:val="009C0F95"/>
    <w:rsid w:val="009C29D5"/>
    <w:rsid w:val="009C4406"/>
    <w:rsid w:val="009C7AE4"/>
    <w:rsid w:val="009D0164"/>
    <w:rsid w:val="009D1964"/>
    <w:rsid w:val="009D205D"/>
    <w:rsid w:val="009D2324"/>
    <w:rsid w:val="009D2872"/>
    <w:rsid w:val="009D28F6"/>
    <w:rsid w:val="009D2C34"/>
    <w:rsid w:val="009D3225"/>
    <w:rsid w:val="009D34E7"/>
    <w:rsid w:val="009D45B7"/>
    <w:rsid w:val="009D75C3"/>
    <w:rsid w:val="009D7785"/>
    <w:rsid w:val="009E427C"/>
    <w:rsid w:val="009E5701"/>
    <w:rsid w:val="009E5A79"/>
    <w:rsid w:val="009F0512"/>
    <w:rsid w:val="009F3AC5"/>
    <w:rsid w:val="009F49B8"/>
    <w:rsid w:val="009F5DC9"/>
    <w:rsid w:val="009F623E"/>
    <w:rsid w:val="009F6F25"/>
    <w:rsid w:val="009F7BCA"/>
    <w:rsid w:val="00A000A6"/>
    <w:rsid w:val="00A00569"/>
    <w:rsid w:val="00A055C9"/>
    <w:rsid w:val="00A0638F"/>
    <w:rsid w:val="00A104E2"/>
    <w:rsid w:val="00A1280C"/>
    <w:rsid w:val="00A1388A"/>
    <w:rsid w:val="00A163C6"/>
    <w:rsid w:val="00A2190C"/>
    <w:rsid w:val="00A2773D"/>
    <w:rsid w:val="00A322AE"/>
    <w:rsid w:val="00A33268"/>
    <w:rsid w:val="00A350B5"/>
    <w:rsid w:val="00A35BE7"/>
    <w:rsid w:val="00A35F60"/>
    <w:rsid w:val="00A36232"/>
    <w:rsid w:val="00A36A5C"/>
    <w:rsid w:val="00A40546"/>
    <w:rsid w:val="00A40F80"/>
    <w:rsid w:val="00A41EC9"/>
    <w:rsid w:val="00A424F0"/>
    <w:rsid w:val="00A50235"/>
    <w:rsid w:val="00A50C62"/>
    <w:rsid w:val="00A50CD3"/>
    <w:rsid w:val="00A50D4E"/>
    <w:rsid w:val="00A52035"/>
    <w:rsid w:val="00A52313"/>
    <w:rsid w:val="00A56E2E"/>
    <w:rsid w:val="00A6000C"/>
    <w:rsid w:val="00A606D1"/>
    <w:rsid w:val="00A61A0B"/>
    <w:rsid w:val="00A61ACC"/>
    <w:rsid w:val="00A640D4"/>
    <w:rsid w:val="00A64C23"/>
    <w:rsid w:val="00A65EAC"/>
    <w:rsid w:val="00A67037"/>
    <w:rsid w:val="00A775B4"/>
    <w:rsid w:val="00A80659"/>
    <w:rsid w:val="00A81684"/>
    <w:rsid w:val="00A82BBB"/>
    <w:rsid w:val="00A83EFD"/>
    <w:rsid w:val="00A84E48"/>
    <w:rsid w:val="00A867E4"/>
    <w:rsid w:val="00A86DFB"/>
    <w:rsid w:val="00A8781A"/>
    <w:rsid w:val="00A91F32"/>
    <w:rsid w:val="00A9393C"/>
    <w:rsid w:val="00A93F2B"/>
    <w:rsid w:val="00AA3660"/>
    <w:rsid w:val="00AA48A6"/>
    <w:rsid w:val="00AA5325"/>
    <w:rsid w:val="00AA5915"/>
    <w:rsid w:val="00AA6218"/>
    <w:rsid w:val="00AA6C9B"/>
    <w:rsid w:val="00AB03D1"/>
    <w:rsid w:val="00AB1303"/>
    <w:rsid w:val="00AB281D"/>
    <w:rsid w:val="00AB2D44"/>
    <w:rsid w:val="00AB3879"/>
    <w:rsid w:val="00AB44D0"/>
    <w:rsid w:val="00AB4573"/>
    <w:rsid w:val="00AB71C4"/>
    <w:rsid w:val="00AB7A53"/>
    <w:rsid w:val="00AC18B4"/>
    <w:rsid w:val="00AC229B"/>
    <w:rsid w:val="00AC2E9F"/>
    <w:rsid w:val="00AC4007"/>
    <w:rsid w:val="00AC4F04"/>
    <w:rsid w:val="00AC5392"/>
    <w:rsid w:val="00AC7FA7"/>
    <w:rsid w:val="00AD344F"/>
    <w:rsid w:val="00AD37EF"/>
    <w:rsid w:val="00AD3BB4"/>
    <w:rsid w:val="00AD4A6D"/>
    <w:rsid w:val="00AE1ECA"/>
    <w:rsid w:val="00AE287A"/>
    <w:rsid w:val="00AE3527"/>
    <w:rsid w:val="00AE43D4"/>
    <w:rsid w:val="00AE456D"/>
    <w:rsid w:val="00AE77AB"/>
    <w:rsid w:val="00AF03C3"/>
    <w:rsid w:val="00AF2BF7"/>
    <w:rsid w:val="00AF3765"/>
    <w:rsid w:val="00AF3A9F"/>
    <w:rsid w:val="00AF46E1"/>
    <w:rsid w:val="00AF48BF"/>
    <w:rsid w:val="00AF557C"/>
    <w:rsid w:val="00B00945"/>
    <w:rsid w:val="00B00C60"/>
    <w:rsid w:val="00B02766"/>
    <w:rsid w:val="00B02BE8"/>
    <w:rsid w:val="00B1154F"/>
    <w:rsid w:val="00B11E70"/>
    <w:rsid w:val="00B12472"/>
    <w:rsid w:val="00B127B1"/>
    <w:rsid w:val="00B15036"/>
    <w:rsid w:val="00B15BCF"/>
    <w:rsid w:val="00B16958"/>
    <w:rsid w:val="00B17369"/>
    <w:rsid w:val="00B17CE0"/>
    <w:rsid w:val="00B208D9"/>
    <w:rsid w:val="00B217F7"/>
    <w:rsid w:val="00B24148"/>
    <w:rsid w:val="00B30E24"/>
    <w:rsid w:val="00B31DDA"/>
    <w:rsid w:val="00B341F4"/>
    <w:rsid w:val="00B40BB8"/>
    <w:rsid w:val="00B40E3C"/>
    <w:rsid w:val="00B44B91"/>
    <w:rsid w:val="00B46D91"/>
    <w:rsid w:val="00B50B8F"/>
    <w:rsid w:val="00B510A5"/>
    <w:rsid w:val="00B510AD"/>
    <w:rsid w:val="00B51A1E"/>
    <w:rsid w:val="00B538E4"/>
    <w:rsid w:val="00B53D12"/>
    <w:rsid w:val="00B56225"/>
    <w:rsid w:val="00B573D0"/>
    <w:rsid w:val="00B600C9"/>
    <w:rsid w:val="00B63993"/>
    <w:rsid w:val="00B64CF0"/>
    <w:rsid w:val="00B67383"/>
    <w:rsid w:val="00B72B8A"/>
    <w:rsid w:val="00B739E1"/>
    <w:rsid w:val="00B751CD"/>
    <w:rsid w:val="00B756D3"/>
    <w:rsid w:val="00B75795"/>
    <w:rsid w:val="00B820AC"/>
    <w:rsid w:val="00B823A2"/>
    <w:rsid w:val="00B841DE"/>
    <w:rsid w:val="00B85265"/>
    <w:rsid w:val="00B85D6B"/>
    <w:rsid w:val="00B9051C"/>
    <w:rsid w:val="00B95FE1"/>
    <w:rsid w:val="00BA2593"/>
    <w:rsid w:val="00BA299E"/>
    <w:rsid w:val="00BA2FCE"/>
    <w:rsid w:val="00BA548B"/>
    <w:rsid w:val="00BA7248"/>
    <w:rsid w:val="00BA7689"/>
    <w:rsid w:val="00BB077B"/>
    <w:rsid w:val="00BB4610"/>
    <w:rsid w:val="00BB511C"/>
    <w:rsid w:val="00BB7E20"/>
    <w:rsid w:val="00BC2084"/>
    <w:rsid w:val="00BC2689"/>
    <w:rsid w:val="00BC279F"/>
    <w:rsid w:val="00BC2EAE"/>
    <w:rsid w:val="00BC47C8"/>
    <w:rsid w:val="00BC53FE"/>
    <w:rsid w:val="00BC7214"/>
    <w:rsid w:val="00BD1C19"/>
    <w:rsid w:val="00BD28F2"/>
    <w:rsid w:val="00BD3A48"/>
    <w:rsid w:val="00BD56E5"/>
    <w:rsid w:val="00BD5FFF"/>
    <w:rsid w:val="00BE1FF1"/>
    <w:rsid w:val="00BE41A3"/>
    <w:rsid w:val="00BE4259"/>
    <w:rsid w:val="00BE4A17"/>
    <w:rsid w:val="00BF1136"/>
    <w:rsid w:val="00C012B3"/>
    <w:rsid w:val="00C03509"/>
    <w:rsid w:val="00C049DB"/>
    <w:rsid w:val="00C07D20"/>
    <w:rsid w:val="00C1153B"/>
    <w:rsid w:val="00C11972"/>
    <w:rsid w:val="00C141F9"/>
    <w:rsid w:val="00C2258A"/>
    <w:rsid w:val="00C23311"/>
    <w:rsid w:val="00C2401E"/>
    <w:rsid w:val="00C27FC7"/>
    <w:rsid w:val="00C301FC"/>
    <w:rsid w:val="00C3194A"/>
    <w:rsid w:val="00C34A3E"/>
    <w:rsid w:val="00C34DA2"/>
    <w:rsid w:val="00C35D1D"/>
    <w:rsid w:val="00C35DBE"/>
    <w:rsid w:val="00C3744A"/>
    <w:rsid w:val="00C37F16"/>
    <w:rsid w:val="00C40848"/>
    <w:rsid w:val="00C43398"/>
    <w:rsid w:val="00C454B4"/>
    <w:rsid w:val="00C45F7D"/>
    <w:rsid w:val="00C47629"/>
    <w:rsid w:val="00C4767A"/>
    <w:rsid w:val="00C52DB8"/>
    <w:rsid w:val="00C55B07"/>
    <w:rsid w:val="00C55D01"/>
    <w:rsid w:val="00C611CB"/>
    <w:rsid w:val="00C6222B"/>
    <w:rsid w:val="00C64BF4"/>
    <w:rsid w:val="00C65AA9"/>
    <w:rsid w:val="00C65FAF"/>
    <w:rsid w:val="00C67C91"/>
    <w:rsid w:val="00C67F91"/>
    <w:rsid w:val="00C67FF4"/>
    <w:rsid w:val="00C705CF"/>
    <w:rsid w:val="00C737F8"/>
    <w:rsid w:val="00C76F73"/>
    <w:rsid w:val="00C80452"/>
    <w:rsid w:val="00C80E17"/>
    <w:rsid w:val="00C81EB4"/>
    <w:rsid w:val="00C81EF0"/>
    <w:rsid w:val="00C825BD"/>
    <w:rsid w:val="00C837B0"/>
    <w:rsid w:val="00C837E0"/>
    <w:rsid w:val="00C848B7"/>
    <w:rsid w:val="00C857B2"/>
    <w:rsid w:val="00C87608"/>
    <w:rsid w:val="00C876D7"/>
    <w:rsid w:val="00C90653"/>
    <w:rsid w:val="00C92056"/>
    <w:rsid w:val="00C932C1"/>
    <w:rsid w:val="00C9431E"/>
    <w:rsid w:val="00C956F3"/>
    <w:rsid w:val="00CA0204"/>
    <w:rsid w:val="00CA2C00"/>
    <w:rsid w:val="00CA4A19"/>
    <w:rsid w:val="00CA4DAE"/>
    <w:rsid w:val="00CC1FF6"/>
    <w:rsid w:val="00CC32E4"/>
    <w:rsid w:val="00CC372B"/>
    <w:rsid w:val="00CC7EED"/>
    <w:rsid w:val="00CD084D"/>
    <w:rsid w:val="00CD0E35"/>
    <w:rsid w:val="00CD1C3D"/>
    <w:rsid w:val="00CD1CBC"/>
    <w:rsid w:val="00CD521F"/>
    <w:rsid w:val="00CD7023"/>
    <w:rsid w:val="00CE0A8E"/>
    <w:rsid w:val="00CE4879"/>
    <w:rsid w:val="00CE4A08"/>
    <w:rsid w:val="00CF2310"/>
    <w:rsid w:val="00CF3FC9"/>
    <w:rsid w:val="00CF6F98"/>
    <w:rsid w:val="00D01EB6"/>
    <w:rsid w:val="00D01EBE"/>
    <w:rsid w:val="00D02FA2"/>
    <w:rsid w:val="00D03B6A"/>
    <w:rsid w:val="00D0588C"/>
    <w:rsid w:val="00D05BA1"/>
    <w:rsid w:val="00D10BAA"/>
    <w:rsid w:val="00D11722"/>
    <w:rsid w:val="00D11E27"/>
    <w:rsid w:val="00D14893"/>
    <w:rsid w:val="00D16AAF"/>
    <w:rsid w:val="00D20749"/>
    <w:rsid w:val="00D21364"/>
    <w:rsid w:val="00D22E88"/>
    <w:rsid w:val="00D2487F"/>
    <w:rsid w:val="00D27AF2"/>
    <w:rsid w:val="00D32E2F"/>
    <w:rsid w:val="00D35658"/>
    <w:rsid w:val="00D372AE"/>
    <w:rsid w:val="00D37EF8"/>
    <w:rsid w:val="00D40309"/>
    <w:rsid w:val="00D4176E"/>
    <w:rsid w:val="00D42B1B"/>
    <w:rsid w:val="00D4304E"/>
    <w:rsid w:val="00D430AC"/>
    <w:rsid w:val="00D43E81"/>
    <w:rsid w:val="00D45C1E"/>
    <w:rsid w:val="00D46978"/>
    <w:rsid w:val="00D47452"/>
    <w:rsid w:val="00D50321"/>
    <w:rsid w:val="00D50F83"/>
    <w:rsid w:val="00D524B4"/>
    <w:rsid w:val="00D526F0"/>
    <w:rsid w:val="00D56631"/>
    <w:rsid w:val="00D623C5"/>
    <w:rsid w:val="00D625F1"/>
    <w:rsid w:val="00D6485C"/>
    <w:rsid w:val="00D64B78"/>
    <w:rsid w:val="00D65053"/>
    <w:rsid w:val="00D721D4"/>
    <w:rsid w:val="00D722BC"/>
    <w:rsid w:val="00D7372F"/>
    <w:rsid w:val="00D74C76"/>
    <w:rsid w:val="00D74D6E"/>
    <w:rsid w:val="00D74F01"/>
    <w:rsid w:val="00D80AB9"/>
    <w:rsid w:val="00D84FF1"/>
    <w:rsid w:val="00D91615"/>
    <w:rsid w:val="00D9161F"/>
    <w:rsid w:val="00D91916"/>
    <w:rsid w:val="00D91BA2"/>
    <w:rsid w:val="00D95539"/>
    <w:rsid w:val="00D966D3"/>
    <w:rsid w:val="00DA0FFC"/>
    <w:rsid w:val="00DA1A06"/>
    <w:rsid w:val="00DA3D57"/>
    <w:rsid w:val="00DA5B71"/>
    <w:rsid w:val="00DA65AD"/>
    <w:rsid w:val="00DB423F"/>
    <w:rsid w:val="00DB44A2"/>
    <w:rsid w:val="00DB45D9"/>
    <w:rsid w:val="00DB6BC0"/>
    <w:rsid w:val="00DB6CAD"/>
    <w:rsid w:val="00DB6E55"/>
    <w:rsid w:val="00DC2A4F"/>
    <w:rsid w:val="00DC2C8E"/>
    <w:rsid w:val="00DC3324"/>
    <w:rsid w:val="00DC442D"/>
    <w:rsid w:val="00DD0464"/>
    <w:rsid w:val="00DD1228"/>
    <w:rsid w:val="00DD12FE"/>
    <w:rsid w:val="00DD2040"/>
    <w:rsid w:val="00DD2E5A"/>
    <w:rsid w:val="00DD740A"/>
    <w:rsid w:val="00DE2127"/>
    <w:rsid w:val="00DE4810"/>
    <w:rsid w:val="00DE6C60"/>
    <w:rsid w:val="00DF0F12"/>
    <w:rsid w:val="00DF314B"/>
    <w:rsid w:val="00DF37F9"/>
    <w:rsid w:val="00DF6526"/>
    <w:rsid w:val="00E01979"/>
    <w:rsid w:val="00E07F54"/>
    <w:rsid w:val="00E10640"/>
    <w:rsid w:val="00E10CCF"/>
    <w:rsid w:val="00E10DE9"/>
    <w:rsid w:val="00E111A8"/>
    <w:rsid w:val="00E21CB0"/>
    <w:rsid w:val="00E23FF7"/>
    <w:rsid w:val="00E255DA"/>
    <w:rsid w:val="00E30679"/>
    <w:rsid w:val="00E34B8E"/>
    <w:rsid w:val="00E374EB"/>
    <w:rsid w:val="00E43AD0"/>
    <w:rsid w:val="00E44352"/>
    <w:rsid w:val="00E45E15"/>
    <w:rsid w:val="00E47034"/>
    <w:rsid w:val="00E50F91"/>
    <w:rsid w:val="00E516B3"/>
    <w:rsid w:val="00E550D2"/>
    <w:rsid w:val="00E63798"/>
    <w:rsid w:val="00E6390C"/>
    <w:rsid w:val="00E63DB4"/>
    <w:rsid w:val="00E65B35"/>
    <w:rsid w:val="00E66647"/>
    <w:rsid w:val="00E66BD6"/>
    <w:rsid w:val="00E727AE"/>
    <w:rsid w:val="00E764D8"/>
    <w:rsid w:val="00E7715B"/>
    <w:rsid w:val="00E80FB0"/>
    <w:rsid w:val="00E8482F"/>
    <w:rsid w:val="00E86303"/>
    <w:rsid w:val="00E877DA"/>
    <w:rsid w:val="00E9207C"/>
    <w:rsid w:val="00E92474"/>
    <w:rsid w:val="00E93C57"/>
    <w:rsid w:val="00E949E4"/>
    <w:rsid w:val="00E969C1"/>
    <w:rsid w:val="00E97E63"/>
    <w:rsid w:val="00EA3BE2"/>
    <w:rsid w:val="00EA5688"/>
    <w:rsid w:val="00EA5BCC"/>
    <w:rsid w:val="00EA7852"/>
    <w:rsid w:val="00EB4115"/>
    <w:rsid w:val="00EC07C7"/>
    <w:rsid w:val="00EC3516"/>
    <w:rsid w:val="00EC3A12"/>
    <w:rsid w:val="00ED76DE"/>
    <w:rsid w:val="00EE1076"/>
    <w:rsid w:val="00EE2466"/>
    <w:rsid w:val="00EE7BF9"/>
    <w:rsid w:val="00EF1B70"/>
    <w:rsid w:val="00EF2EC6"/>
    <w:rsid w:val="00EF33F5"/>
    <w:rsid w:val="00EF482B"/>
    <w:rsid w:val="00EF665D"/>
    <w:rsid w:val="00F03534"/>
    <w:rsid w:val="00F03BD0"/>
    <w:rsid w:val="00F04D79"/>
    <w:rsid w:val="00F12253"/>
    <w:rsid w:val="00F123B1"/>
    <w:rsid w:val="00F12411"/>
    <w:rsid w:val="00F20C64"/>
    <w:rsid w:val="00F22800"/>
    <w:rsid w:val="00F254BF"/>
    <w:rsid w:val="00F267A2"/>
    <w:rsid w:val="00F27FDA"/>
    <w:rsid w:val="00F32757"/>
    <w:rsid w:val="00F335CA"/>
    <w:rsid w:val="00F344E1"/>
    <w:rsid w:val="00F346D3"/>
    <w:rsid w:val="00F35731"/>
    <w:rsid w:val="00F36A0A"/>
    <w:rsid w:val="00F37594"/>
    <w:rsid w:val="00F4109C"/>
    <w:rsid w:val="00F42460"/>
    <w:rsid w:val="00F44A3A"/>
    <w:rsid w:val="00F44C29"/>
    <w:rsid w:val="00F46F84"/>
    <w:rsid w:val="00F52223"/>
    <w:rsid w:val="00F53926"/>
    <w:rsid w:val="00F560C2"/>
    <w:rsid w:val="00F61C78"/>
    <w:rsid w:val="00F63F8A"/>
    <w:rsid w:val="00F67E9F"/>
    <w:rsid w:val="00F710A3"/>
    <w:rsid w:val="00F73D8A"/>
    <w:rsid w:val="00F75CE1"/>
    <w:rsid w:val="00F76C94"/>
    <w:rsid w:val="00F83FD8"/>
    <w:rsid w:val="00F85386"/>
    <w:rsid w:val="00F85E40"/>
    <w:rsid w:val="00F906C0"/>
    <w:rsid w:val="00F91EB8"/>
    <w:rsid w:val="00F958D2"/>
    <w:rsid w:val="00F95F04"/>
    <w:rsid w:val="00F9613C"/>
    <w:rsid w:val="00FA0BB3"/>
    <w:rsid w:val="00FA14D8"/>
    <w:rsid w:val="00FA1C5D"/>
    <w:rsid w:val="00FA4AFB"/>
    <w:rsid w:val="00FB011F"/>
    <w:rsid w:val="00FB02E0"/>
    <w:rsid w:val="00FB16D4"/>
    <w:rsid w:val="00FB64A5"/>
    <w:rsid w:val="00FB6D0B"/>
    <w:rsid w:val="00FC0123"/>
    <w:rsid w:val="00FC2148"/>
    <w:rsid w:val="00FC647B"/>
    <w:rsid w:val="00FD0CBE"/>
    <w:rsid w:val="00FD3E36"/>
    <w:rsid w:val="00FD5C63"/>
    <w:rsid w:val="00FD64B1"/>
    <w:rsid w:val="00FD71A8"/>
    <w:rsid w:val="00FE44C5"/>
    <w:rsid w:val="00FF1DB2"/>
    <w:rsid w:val="00FF37AE"/>
    <w:rsid w:val="00FF49CF"/>
    <w:rsid w:val="00FF5AAE"/>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0FA131"/>
  <w14:defaultImageDpi w14:val="300"/>
  <w15:docId w15:val="{88A96C0E-82C5-1045-920C-B6635932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2C6"/>
    <w:pPr>
      <w:spacing w:before="100" w:beforeAutospacing="1" w:after="100" w:afterAutospacing="1"/>
    </w:pPr>
    <w:rPr>
      <w:rFonts w:ascii="Times New Roman" w:hAnsi="Times New Roman" w:cs="Times New Roman"/>
      <w:sz w:val="20"/>
      <w:szCs w:val="20"/>
    </w:rPr>
  </w:style>
  <w:style w:type="paragraph" w:styleId="FootnoteText">
    <w:name w:val="footnote text"/>
    <w:aliases w:val="5_G,Footnote Text Char Char Char,Footnote Text Char Char Char Char,Footnote Text Char Char Char Char Char,Footnote Text Char Char Char Char Char Char,Footnote Text Char Char Char Char Char Char Char Char Char Char Char Char,FA Fu,FA,FA1,Ca"/>
    <w:basedOn w:val="Normal"/>
    <w:link w:val="FootnoteTextChar"/>
    <w:uiPriority w:val="99"/>
    <w:unhideWhenUsed/>
    <w:qFormat/>
    <w:rsid w:val="0072347F"/>
  </w:style>
  <w:style w:type="character" w:customStyle="1" w:styleId="FootnoteTextChar">
    <w:name w:val="Footnote Text Char"/>
    <w:aliases w:val="5_G Char,Footnote Text Char Char Char Char1,Footnote Text Char Char Char Char Char1,Footnote Text Char Char Char Char Char Char1,Footnote Text Char Char Char Char Char Char Char,FA Fu Char,FA Char,FA1 Char,Ca Char"/>
    <w:basedOn w:val="DefaultParagraphFont"/>
    <w:link w:val="FootnoteText"/>
    <w:uiPriority w:val="99"/>
    <w:rsid w:val="0072347F"/>
  </w:style>
  <w:style w:type="character" w:styleId="Hyperlink">
    <w:name w:val="Hyperlink"/>
    <w:basedOn w:val="DefaultParagraphFont"/>
    <w:uiPriority w:val="99"/>
    <w:unhideWhenUsed/>
    <w:rsid w:val="0072347F"/>
    <w:rPr>
      <w:color w:val="0000FF"/>
      <w:u w:val="single"/>
    </w:rPr>
  </w:style>
  <w:style w:type="character" w:styleId="FootnoteReference">
    <w:name w:val="footnote reference"/>
    <w:aliases w:val="Footnotes refss,Style 10,4_G,Appel note de bas de page,Fago Fu?notenzeichen,Fago Fußnotenzeichen,Footnote number,Fago Fuﬂnotenzeichen,Ref,de nota al pie,ftref,ftref1,ftref2,ftref11,Texto de nota al pie,referencia nota al pie,BVI fnr,f"/>
    <w:basedOn w:val="DefaultParagraphFont"/>
    <w:uiPriority w:val="99"/>
    <w:unhideWhenUsed/>
    <w:qFormat/>
    <w:rsid w:val="0072347F"/>
    <w:rPr>
      <w:vertAlign w:val="superscript"/>
    </w:rPr>
  </w:style>
  <w:style w:type="character" w:styleId="FollowedHyperlink">
    <w:name w:val="FollowedHyperlink"/>
    <w:basedOn w:val="DefaultParagraphFont"/>
    <w:uiPriority w:val="99"/>
    <w:semiHidden/>
    <w:unhideWhenUsed/>
    <w:rsid w:val="0048272E"/>
    <w:rPr>
      <w:color w:val="800080" w:themeColor="followedHyperlink"/>
      <w:u w:val="single"/>
    </w:rPr>
  </w:style>
  <w:style w:type="character" w:customStyle="1" w:styleId="highlight">
    <w:name w:val="highlight"/>
    <w:basedOn w:val="DefaultParagraphFont"/>
    <w:rsid w:val="008D3B2C"/>
  </w:style>
  <w:style w:type="paragraph" w:styleId="ListParagraph">
    <w:name w:val="List Paragraph"/>
    <w:rsid w:val="00BA7248"/>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eastAsia="it-IT"/>
    </w:rPr>
  </w:style>
  <w:style w:type="numbering" w:customStyle="1" w:styleId="ImportedStyle3">
    <w:name w:val="Imported Style 3"/>
    <w:rsid w:val="00BA7248"/>
    <w:pPr>
      <w:numPr>
        <w:numId w:val="2"/>
      </w:numPr>
    </w:pPr>
  </w:style>
  <w:style w:type="paragraph" w:styleId="Caption">
    <w:name w:val="caption"/>
    <w:basedOn w:val="Normal"/>
    <w:next w:val="Normal"/>
    <w:uiPriority w:val="35"/>
    <w:unhideWhenUsed/>
    <w:qFormat/>
    <w:rsid w:val="00EF1B70"/>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0375AF"/>
    <w:rPr>
      <w:sz w:val="18"/>
      <w:szCs w:val="18"/>
    </w:rPr>
  </w:style>
  <w:style w:type="paragraph" w:styleId="CommentText">
    <w:name w:val="annotation text"/>
    <w:basedOn w:val="Normal"/>
    <w:link w:val="CommentTextChar"/>
    <w:uiPriority w:val="99"/>
    <w:semiHidden/>
    <w:unhideWhenUsed/>
    <w:rsid w:val="000375AF"/>
  </w:style>
  <w:style w:type="character" w:customStyle="1" w:styleId="CommentTextChar">
    <w:name w:val="Comment Text Char"/>
    <w:basedOn w:val="DefaultParagraphFont"/>
    <w:link w:val="CommentText"/>
    <w:uiPriority w:val="99"/>
    <w:semiHidden/>
    <w:rsid w:val="000375AF"/>
  </w:style>
  <w:style w:type="paragraph" w:styleId="CommentSubject">
    <w:name w:val="annotation subject"/>
    <w:basedOn w:val="CommentText"/>
    <w:next w:val="CommentText"/>
    <w:link w:val="CommentSubjectChar"/>
    <w:uiPriority w:val="99"/>
    <w:semiHidden/>
    <w:unhideWhenUsed/>
    <w:rsid w:val="000375AF"/>
    <w:rPr>
      <w:b/>
      <w:bCs/>
      <w:sz w:val="20"/>
      <w:szCs w:val="20"/>
    </w:rPr>
  </w:style>
  <w:style w:type="character" w:customStyle="1" w:styleId="CommentSubjectChar">
    <w:name w:val="Comment Subject Char"/>
    <w:basedOn w:val="CommentTextChar"/>
    <w:link w:val="CommentSubject"/>
    <w:uiPriority w:val="99"/>
    <w:semiHidden/>
    <w:rsid w:val="000375AF"/>
    <w:rPr>
      <w:b/>
      <w:bCs/>
      <w:sz w:val="20"/>
      <w:szCs w:val="20"/>
    </w:rPr>
  </w:style>
  <w:style w:type="paragraph" w:styleId="BalloonText">
    <w:name w:val="Balloon Text"/>
    <w:basedOn w:val="Normal"/>
    <w:link w:val="BalloonTextChar"/>
    <w:uiPriority w:val="99"/>
    <w:semiHidden/>
    <w:unhideWhenUsed/>
    <w:rsid w:val="000375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AF"/>
    <w:rPr>
      <w:rFonts w:ascii="Lucida Grande" w:hAnsi="Lucida Grande" w:cs="Lucida Grande"/>
      <w:sz w:val="18"/>
      <w:szCs w:val="18"/>
    </w:rPr>
  </w:style>
  <w:style w:type="paragraph" w:styleId="Header">
    <w:name w:val="header"/>
    <w:basedOn w:val="Normal"/>
    <w:link w:val="HeaderChar"/>
    <w:uiPriority w:val="99"/>
    <w:unhideWhenUsed/>
    <w:rsid w:val="00E550D2"/>
    <w:pPr>
      <w:tabs>
        <w:tab w:val="center" w:pos="4320"/>
        <w:tab w:val="right" w:pos="8640"/>
      </w:tabs>
    </w:pPr>
  </w:style>
  <w:style w:type="character" w:customStyle="1" w:styleId="HeaderChar">
    <w:name w:val="Header Char"/>
    <w:basedOn w:val="DefaultParagraphFont"/>
    <w:link w:val="Header"/>
    <w:uiPriority w:val="99"/>
    <w:rsid w:val="00E550D2"/>
  </w:style>
  <w:style w:type="paragraph" w:styleId="Footer">
    <w:name w:val="footer"/>
    <w:basedOn w:val="Normal"/>
    <w:link w:val="FooterChar"/>
    <w:uiPriority w:val="99"/>
    <w:unhideWhenUsed/>
    <w:rsid w:val="00E550D2"/>
    <w:pPr>
      <w:tabs>
        <w:tab w:val="center" w:pos="4320"/>
        <w:tab w:val="right" w:pos="8640"/>
      </w:tabs>
    </w:pPr>
  </w:style>
  <w:style w:type="character" w:customStyle="1" w:styleId="FooterChar">
    <w:name w:val="Footer Char"/>
    <w:basedOn w:val="DefaultParagraphFont"/>
    <w:link w:val="Footer"/>
    <w:uiPriority w:val="99"/>
    <w:rsid w:val="00E550D2"/>
  </w:style>
  <w:style w:type="character" w:styleId="UnresolvedMention">
    <w:name w:val="Unresolved Mention"/>
    <w:basedOn w:val="DefaultParagraphFont"/>
    <w:uiPriority w:val="99"/>
    <w:semiHidden/>
    <w:unhideWhenUsed/>
    <w:rsid w:val="005F4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4770">
      <w:bodyDiv w:val="1"/>
      <w:marLeft w:val="0"/>
      <w:marRight w:val="0"/>
      <w:marTop w:val="0"/>
      <w:marBottom w:val="0"/>
      <w:divBdr>
        <w:top w:val="none" w:sz="0" w:space="0" w:color="auto"/>
        <w:left w:val="none" w:sz="0" w:space="0" w:color="auto"/>
        <w:bottom w:val="none" w:sz="0" w:space="0" w:color="auto"/>
        <w:right w:val="none" w:sz="0" w:space="0" w:color="auto"/>
      </w:divBdr>
    </w:div>
    <w:div w:id="363293976">
      <w:bodyDiv w:val="1"/>
      <w:marLeft w:val="0"/>
      <w:marRight w:val="0"/>
      <w:marTop w:val="0"/>
      <w:marBottom w:val="0"/>
      <w:divBdr>
        <w:top w:val="none" w:sz="0" w:space="0" w:color="auto"/>
        <w:left w:val="none" w:sz="0" w:space="0" w:color="auto"/>
        <w:bottom w:val="none" w:sz="0" w:space="0" w:color="auto"/>
        <w:right w:val="none" w:sz="0" w:space="0" w:color="auto"/>
      </w:divBdr>
    </w:div>
    <w:div w:id="535968385">
      <w:bodyDiv w:val="1"/>
      <w:marLeft w:val="0"/>
      <w:marRight w:val="0"/>
      <w:marTop w:val="0"/>
      <w:marBottom w:val="0"/>
      <w:divBdr>
        <w:top w:val="none" w:sz="0" w:space="0" w:color="auto"/>
        <w:left w:val="none" w:sz="0" w:space="0" w:color="auto"/>
        <w:bottom w:val="none" w:sz="0" w:space="0" w:color="auto"/>
        <w:right w:val="none" w:sz="0" w:space="0" w:color="auto"/>
      </w:divBdr>
      <w:divsChild>
        <w:div w:id="1274554914">
          <w:marLeft w:val="0"/>
          <w:marRight w:val="0"/>
          <w:marTop w:val="0"/>
          <w:marBottom w:val="0"/>
          <w:divBdr>
            <w:top w:val="none" w:sz="0" w:space="0" w:color="auto"/>
            <w:left w:val="none" w:sz="0" w:space="0" w:color="auto"/>
            <w:bottom w:val="none" w:sz="0" w:space="0" w:color="auto"/>
            <w:right w:val="none" w:sz="0" w:space="0" w:color="auto"/>
          </w:divBdr>
        </w:div>
        <w:div w:id="2141999143">
          <w:marLeft w:val="0"/>
          <w:marRight w:val="0"/>
          <w:marTop w:val="0"/>
          <w:marBottom w:val="0"/>
          <w:divBdr>
            <w:top w:val="none" w:sz="0" w:space="0" w:color="auto"/>
            <w:left w:val="none" w:sz="0" w:space="0" w:color="auto"/>
            <w:bottom w:val="none" w:sz="0" w:space="0" w:color="auto"/>
            <w:right w:val="none" w:sz="0" w:space="0" w:color="auto"/>
          </w:divBdr>
        </w:div>
        <w:div w:id="2085056651">
          <w:marLeft w:val="0"/>
          <w:marRight w:val="0"/>
          <w:marTop w:val="0"/>
          <w:marBottom w:val="0"/>
          <w:divBdr>
            <w:top w:val="none" w:sz="0" w:space="0" w:color="auto"/>
            <w:left w:val="none" w:sz="0" w:space="0" w:color="auto"/>
            <w:bottom w:val="none" w:sz="0" w:space="0" w:color="auto"/>
            <w:right w:val="none" w:sz="0" w:space="0" w:color="auto"/>
          </w:divBdr>
        </w:div>
      </w:divsChild>
    </w:div>
    <w:div w:id="682703097">
      <w:bodyDiv w:val="1"/>
      <w:marLeft w:val="0"/>
      <w:marRight w:val="0"/>
      <w:marTop w:val="0"/>
      <w:marBottom w:val="0"/>
      <w:divBdr>
        <w:top w:val="none" w:sz="0" w:space="0" w:color="auto"/>
        <w:left w:val="none" w:sz="0" w:space="0" w:color="auto"/>
        <w:bottom w:val="none" w:sz="0" w:space="0" w:color="auto"/>
        <w:right w:val="none" w:sz="0" w:space="0" w:color="auto"/>
      </w:divBdr>
      <w:divsChild>
        <w:div w:id="1337347205">
          <w:marLeft w:val="0"/>
          <w:marRight w:val="0"/>
          <w:marTop w:val="0"/>
          <w:marBottom w:val="0"/>
          <w:divBdr>
            <w:top w:val="none" w:sz="0" w:space="0" w:color="auto"/>
            <w:left w:val="none" w:sz="0" w:space="0" w:color="auto"/>
            <w:bottom w:val="none" w:sz="0" w:space="0" w:color="auto"/>
            <w:right w:val="none" w:sz="0" w:space="0" w:color="auto"/>
          </w:divBdr>
        </w:div>
        <w:div w:id="485243209">
          <w:marLeft w:val="0"/>
          <w:marRight w:val="0"/>
          <w:marTop w:val="0"/>
          <w:marBottom w:val="0"/>
          <w:divBdr>
            <w:top w:val="none" w:sz="0" w:space="0" w:color="auto"/>
            <w:left w:val="none" w:sz="0" w:space="0" w:color="auto"/>
            <w:bottom w:val="none" w:sz="0" w:space="0" w:color="auto"/>
            <w:right w:val="none" w:sz="0" w:space="0" w:color="auto"/>
          </w:divBdr>
        </w:div>
        <w:div w:id="869295887">
          <w:marLeft w:val="0"/>
          <w:marRight w:val="0"/>
          <w:marTop w:val="0"/>
          <w:marBottom w:val="0"/>
          <w:divBdr>
            <w:top w:val="none" w:sz="0" w:space="0" w:color="auto"/>
            <w:left w:val="none" w:sz="0" w:space="0" w:color="auto"/>
            <w:bottom w:val="none" w:sz="0" w:space="0" w:color="auto"/>
            <w:right w:val="none" w:sz="0" w:space="0" w:color="auto"/>
          </w:divBdr>
        </w:div>
        <w:div w:id="1612399011">
          <w:marLeft w:val="0"/>
          <w:marRight w:val="0"/>
          <w:marTop w:val="0"/>
          <w:marBottom w:val="0"/>
          <w:divBdr>
            <w:top w:val="none" w:sz="0" w:space="0" w:color="auto"/>
            <w:left w:val="none" w:sz="0" w:space="0" w:color="auto"/>
            <w:bottom w:val="none" w:sz="0" w:space="0" w:color="auto"/>
            <w:right w:val="none" w:sz="0" w:space="0" w:color="auto"/>
          </w:divBdr>
        </w:div>
      </w:divsChild>
    </w:div>
    <w:div w:id="1184367074">
      <w:bodyDiv w:val="1"/>
      <w:marLeft w:val="0"/>
      <w:marRight w:val="0"/>
      <w:marTop w:val="0"/>
      <w:marBottom w:val="0"/>
      <w:divBdr>
        <w:top w:val="none" w:sz="0" w:space="0" w:color="auto"/>
        <w:left w:val="none" w:sz="0" w:space="0" w:color="auto"/>
        <w:bottom w:val="none" w:sz="0" w:space="0" w:color="auto"/>
        <w:right w:val="none" w:sz="0" w:space="0" w:color="auto"/>
      </w:divBdr>
    </w:div>
    <w:div w:id="1349865444">
      <w:bodyDiv w:val="1"/>
      <w:marLeft w:val="0"/>
      <w:marRight w:val="0"/>
      <w:marTop w:val="0"/>
      <w:marBottom w:val="0"/>
      <w:divBdr>
        <w:top w:val="none" w:sz="0" w:space="0" w:color="auto"/>
        <w:left w:val="none" w:sz="0" w:space="0" w:color="auto"/>
        <w:bottom w:val="none" w:sz="0" w:space="0" w:color="auto"/>
        <w:right w:val="none" w:sz="0" w:space="0" w:color="auto"/>
      </w:divBdr>
    </w:div>
    <w:div w:id="1357541287">
      <w:bodyDiv w:val="1"/>
      <w:marLeft w:val="0"/>
      <w:marRight w:val="0"/>
      <w:marTop w:val="0"/>
      <w:marBottom w:val="0"/>
      <w:divBdr>
        <w:top w:val="none" w:sz="0" w:space="0" w:color="auto"/>
        <w:left w:val="none" w:sz="0" w:space="0" w:color="auto"/>
        <w:bottom w:val="none" w:sz="0" w:space="0" w:color="auto"/>
        <w:right w:val="none" w:sz="0" w:space="0" w:color="auto"/>
      </w:divBdr>
    </w:div>
    <w:div w:id="1491946668">
      <w:bodyDiv w:val="1"/>
      <w:marLeft w:val="0"/>
      <w:marRight w:val="0"/>
      <w:marTop w:val="0"/>
      <w:marBottom w:val="0"/>
      <w:divBdr>
        <w:top w:val="none" w:sz="0" w:space="0" w:color="auto"/>
        <w:left w:val="none" w:sz="0" w:space="0" w:color="auto"/>
        <w:bottom w:val="none" w:sz="0" w:space="0" w:color="auto"/>
        <w:right w:val="none" w:sz="0" w:space="0" w:color="auto"/>
      </w:divBdr>
    </w:div>
    <w:div w:id="1572739427">
      <w:bodyDiv w:val="1"/>
      <w:marLeft w:val="0"/>
      <w:marRight w:val="0"/>
      <w:marTop w:val="0"/>
      <w:marBottom w:val="0"/>
      <w:divBdr>
        <w:top w:val="none" w:sz="0" w:space="0" w:color="auto"/>
        <w:left w:val="none" w:sz="0" w:space="0" w:color="auto"/>
        <w:bottom w:val="none" w:sz="0" w:space="0" w:color="auto"/>
        <w:right w:val="none" w:sz="0" w:space="0" w:color="auto"/>
      </w:divBdr>
    </w:div>
    <w:div w:id="1608463221">
      <w:bodyDiv w:val="1"/>
      <w:marLeft w:val="0"/>
      <w:marRight w:val="0"/>
      <w:marTop w:val="0"/>
      <w:marBottom w:val="0"/>
      <w:divBdr>
        <w:top w:val="none" w:sz="0" w:space="0" w:color="auto"/>
        <w:left w:val="none" w:sz="0" w:space="0" w:color="auto"/>
        <w:bottom w:val="none" w:sz="0" w:space="0" w:color="auto"/>
        <w:right w:val="none" w:sz="0" w:space="0" w:color="auto"/>
      </w:divBdr>
    </w:div>
    <w:div w:id="1830363285">
      <w:bodyDiv w:val="1"/>
      <w:marLeft w:val="0"/>
      <w:marRight w:val="0"/>
      <w:marTop w:val="0"/>
      <w:marBottom w:val="0"/>
      <w:divBdr>
        <w:top w:val="none" w:sz="0" w:space="0" w:color="auto"/>
        <w:left w:val="none" w:sz="0" w:space="0" w:color="auto"/>
        <w:bottom w:val="none" w:sz="0" w:space="0" w:color="auto"/>
        <w:right w:val="none" w:sz="0" w:space="0" w:color="auto"/>
      </w:divBdr>
    </w:div>
    <w:div w:id="1853688790">
      <w:bodyDiv w:val="1"/>
      <w:marLeft w:val="0"/>
      <w:marRight w:val="0"/>
      <w:marTop w:val="0"/>
      <w:marBottom w:val="0"/>
      <w:divBdr>
        <w:top w:val="none" w:sz="0" w:space="0" w:color="auto"/>
        <w:left w:val="none" w:sz="0" w:space="0" w:color="auto"/>
        <w:bottom w:val="none" w:sz="0" w:space="0" w:color="auto"/>
        <w:right w:val="none" w:sz="0" w:space="0" w:color="auto"/>
      </w:divBdr>
    </w:div>
    <w:div w:id="1875196030">
      <w:bodyDiv w:val="1"/>
      <w:marLeft w:val="0"/>
      <w:marRight w:val="0"/>
      <w:marTop w:val="0"/>
      <w:marBottom w:val="0"/>
      <w:divBdr>
        <w:top w:val="none" w:sz="0" w:space="0" w:color="auto"/>
        <w:left w:val="none" w:sz="0" w:space="0" w:color="auto"/>
        <w:bottom w:val="none" w:sz="0" w:space="0" w:color="auto"/>
        <w:right w:val="none" w:sz="0" w:space="0" w:color="auto"/>
      </w:divBdr>
    </w:div>
    <w:div w:id="2035112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Issues/FAssociation/InfoNoteSLAPPsFoAA.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731F2D-FF9C-4D82-BA5E-537A2D4669C6}"/>
</file>

<file path=customXml/itemProps2.xml><?xml version="1.0" encoding="utf-8"?>
<ds:datastoreItem xmlns:ds="http://schemas.openxmlformats.org/officeDocument/2006/customXml" ds:itemID="{A1F74B2F-CB65-48CA-9101-62C78EA95D7E}"/>
</file>

<file path=customXml/itemProps3.xml><?xml version="1.0" encoding="utf-8"?>
<ds:datastoreItem xmlns:ds="http://schemas.openxmlformats.org/officeDocument/2006/customXml" ds:itemID="{A3081A80-A11E-4967-8094-B66CC94C28C3}"/>
</file>

<file path=docProps/app.xml><?xml version="1.0" encoding="utf-8"?>
<Properties xmlns="http://schemas.openxmlformats.org/officeDocument/2006/extended-properties" xmlns:vt="http://schemas.openxmlformats.org/officeDocument/2006/docPropsVTypes">
  <Template>Normal.dotm</Template>
  <TotalTime>285</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Stichting Greenpeace Council</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Simons</dc:creator>
  <cp:keywords/>
  <dc:description/>
  <cp:lastModifiedBy>Daniel Simons</cp:lastModifiedBy>
  <cp:revision>110</cp:revision>
  <dcterms:created xsi:type="dcterms:W3CDTF">2020-02-21T01:50:00Z</dcterms:created>
  <dcterms:modified xsi:type="dcterms:W3CDTF">2020-02-21T13:59:00Z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